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007A" w14:textId="59E90C76" w:rsidR="00612F41" w:rsidRPr="004254BA" w:rsidRDefault="00171E30" w:rsidP="00F0599F">
      <w:r>
        <w:br/>
      </w:r>
      <w:r>
        <w:rPr>
          <w:b/>
          <w:sz w:val="28"/>
          <w:szCs w:val="28"/>
        </w:rPr>
        <w:br/>
      </w:r>
      <w:r w:rsidR="008F2C93">
        <w:rPr>
          <w:b/>
          <w:sz w:val="28"/>
          <w:szCs w:val="28"/>
        </w:rPr>
        <w:t>La destruction sociobiologique de Bruxelles 1965-2015</w:t>
      </w:r>
      <w:r w:rsidRPr="00171E30">
        <w:rPr>
          <w:b/>
          <w:sz w:val="28"/>
          <w:szCs w:val="28"/>
        </w:rPr>
        <w:br/>
      </w:r>
      <w:r w:rsidR="00CD4082">
        <w:rPr>
          <w:b/>
        </w:rPr>
        <w:t>Baptiste Dumoulin</w:t>
      </w:r>
      <w:r w:rsidR="00EE147C">
        <w:rPr>
          <w:b/>
          <w:sz w:val="28"/>
          <w:szCs w:val="28"/>
        </w:rPr>
        <w:br/>
      </w:r>
      <w:r w:rsidR="0078062F">
        <w:rPr>
          <w:b/>
        </w:rPr>
        <w:br/>
      </w:r>
      <w:r w:rsidR="001720EB" w:rsidRPr="000A62E2">
        <w:rPr>
          <w:rFonts w:cstheme="minorHAnsi"/>
        </w:rPr>
        <w:t>« Il n’y a de pire aveugle que celui qui ne veut pas voir »</w:t>
      </w:r>
      <w:r w:rsidR="001720EB" w:rsidRPr="000A62E2">
        <w:rPr>
          <w:rFonts w:cstheme="minorHAnsi"/>
        </w:rPr>
        <w:br/>
        <w:t>Toutes les données de cet article sont publiques et reprises en références.</w:t>
      </w:r>
      <w:r w:rsidR="001720EB" w:rsidRPr="000A62E2">
        <w:rPr>
          <w:rFonts w:cstheme="minorHAnsi"/>
        </w:rPr>
        <w:br/>
      </w:r>
      <w:r w:rsidR="001720EB" w:rsidRPr="000A62E2">
        <w:rPr>
          <w:rFonts w:cstheme="minorHAnsi"/>
        </w:rPr>
        <w:br/>
        <w:t xml:space="preserve">Bruxelles a vu la prospérité de ses habitants se réduire </w:t>
      </w:r>
      <w:r w:rsidR="001720EB">
        <w:rPr>
          <w:rFonts w:cstheme="minorHAnsi"/>
        </w:rPr>
        <w:t>incroyablement</w:t>
      </w:r>
      <w:r w:rsidR="001720EB" w:rsidRPr="000A62E2">
        <w:rPr>
          <w:rFonts w:cstheme="minorHAnsi"/>
        </w:rPr>
        <w:t xml:space="preserve"> en 50 ans. </w:t>
      </w:r>
      <w:r w:rsidR="001720EB" w:rsidRPr="000A62E2">
        <w:rPr>
          <w:rFonts w:cstheme="minorHAnsi"/>
        </w:rPr>
        <w:br/>
      </w:r>
      <w:r w:rsidR="001720EB" w:rsidRPr="000A62E2">
        <w:rPr>
          <w:rFonts w:cstheme="minorHAnsi"/>
        </w:rPr>
        <w:br/>
        <w:t xml:space="preserve">L’indice de richesse de la capitale est passé de 139 </w:t>
      </w:r>
      <w:r w:rsidR="00216F6C" w:rsidRPr="000A62E2">
        <w:rPr>
          <w:rFonts w:cstheme="minorHAnsi"/>
        </w:rPr>
        <w:t>débuts</w:t>
      </w:r>
      <w:r w:rsidR="001720EB" w:rsidRPr="000A62E2">
        <w:rPr>
          <w:rFonts w:cstheme="minorHAnsi"/>
        </w:rPr>
        <w:t xml:space="preserve"> des années 1970 à 79 en 2015 (indice de richesse = rapport des revenus fiscaux d’un lieu donné sur les revenus fiscaux moyens belges, l’indice de richesse est donc de 100 pour la Belgique, par définition), signifiant que la prospérité relative de la région bruxelloise a perdu 43% en 50 ans. </w:t>
      </w:r>
      <w:r w:rsidR="001720EB">
        <w:rPr>
          <w:rFonts w:cstheme="minorHAnsi"/>
        </w:rPr>
        <w:t>D’une des capitales Européenne et mondiale les plus prospère, c</w:t>
      </w:r>
      <w:r w:rsidR="001720EB" w:rsidRPr="000A62E2">
        <w:rPr>
          <w:rFonts w:cstheme="minorHAnsi"/>
        </w:rPr>
        <w:t xml:space="preserve">’est aujourd’hui, de loin, la région la plus pauvre de Belgique. </w:t>
      </w:r>
      <w:r w:rsidR="001720EB" w:rsidRPr="000A62E2">
        <w:rPr>
          <w:rFonts w:cstheme="minorHAnsi"/>
        </w:rPr>
        <w:br/>
      </w:r>
      <w:r w:rsidR="001720EB" w:rsidRPr="000A62E2">
        <w:rPr>
          <w:rFonts w:cstheme="minorHAnsi"/>
        </w:rPr>
        <w:br/>
        <w:t>Comme dans de nombreuses autres villes d’Europe, la métamorphose progressive d’une région prospère en une zone tiers-mondisée est médiée par la plus basse intelligence génotypique des populations migrantes nord-africaines et africaines comparativement aux Européens ou aux Est-Asiatiques. A mesure que ces populations à plus bas QI augmente en proportion, le QI moyen de la zone diminue, ce qui réduit l’ensemble des paramètre sociaux. La causalité est biogénétique, tandis que les conséquences sont sociales</w:t>
      </w:r>
      <w:r w:rsidR="001720EB">
        <w:rPr>
          <w:rFonts w:cstheme="minorHAnsi"/>
        </w:rPr>
        <w:t>,</w:t>
      </w:r>
      <w:r w:rsidR="001720EB" w:rsidRPr="000A62E2">
        <w:rPr>
          <w:rFonts w:cstheme="minorHAnsi"/>
        </w:rPr>
        <w:t xml:space="preserve"> économiques</w:t>
      </w:r>
      <w:r w:rsidR="001720EB">
        <w:rPr>
          <w:rFonts w:cstheme="minorHAnsi"/>
        </w:rPr>
        <w:t xml:space="preserve"> et politiques.</w:t>
      </w:r>
      <w:r w:rsidR="001720EB" w:rsidRPr="000A62E2">
        <w:rPr>
          <w:rFonts w:cstheme="minorHAnsi"/>
        </w:rPr>
        <w:t xml:space="preserve"> </w:t>
      </w:r>
      <w:r w:rsidR="001720EB" w:rsidRPr="000A62E2">
        <w:rPr>
          <w:rFonts w:cstheme="minorHAnsi"/>
        </w:rPr>
        <w:br/>
      </w:r>
      <w:r w:rsidR="00231755">
        <w:rPr>
          <w:b/>
          <w:sz w:val="28"/>
          <w:szCs w:val="28"/>
        </w:rPr>
        <w:br/>
      </w:r>
      <w:r w:rsidR="00231755" w:rsidRPr="000A62E2">
        <w:rPr>
          <w:rFonts w:cstheme="minorHAnsi"/>
        </w:rPr>
        <w:t>Figure 1 : Evolution du nombre de Nord-Africains (concentrés essentiellement à Bruxelles) et indice de richesse</w:t>
      </w:r>
      <w:r w:rsidR="00257A69">
        <w:rPr>
          <w:rFonts w:cstheme="minorHAnsi"/>
        </w:rPr>
        <w:t xml:space="preserve"> moyen</w:t>
      </w:r>
      <w:r w:rsidR="00231755" w:rsidRPr="000A62E2">
        <w:rPr>
          <w:rFonts w:cstheme="minorHAnsi"/>
        </w:rPr>
        <w:t xml:space="preserve"> de</w:t>
      </w:r>
      <w:r w:rsidR="005577D4">
        <w:rPr>
          <w:rFonts w:cstheme="minorHAnsi"/>
        </w:rPr>
        <w:t>s 19 communes de</w:t>
      </w:r>
      <w:r w:rsidR="00231755" w:rsidRPr="000A62E2">
        <w:rPr>
          <w:rFonts w:cstheme="minorHAnsi"/>
        </w:rPr>
        <w:t xml:space="preserve"> Bruxelles 1955-2020.</w:t>
      </w:r>
      <w:r w:rsidR="00231755">
        <w:rPr>
          <w:rFonts w:cstheme="minorHAnsi"/>
        </w:rPr>
        <w:br/>
      </w:r>
      <w:r w:rsidR="00A16B18">
        <w:rPr>
          <w:b/>
          <w:sz w:val="28"/>
          <w:szCs w:val="28"/>
        </w:rPr>
        <w:br/>
      </w:r>
      <w:r w:rsidR="001720EB" w:rsidRPr="001D5F79">
        <w:rPr>
          <w:b/>
          <w:noProof/>
          <w:lang w:eastAsia="fr-BE"/>
        </w:rPr>
        <w:drawing>
          <wp:inline distT="0" distB="0" distL="0" distR="0" wp14:anchorId="46263019" wp14:editId="421010DD">
            <wp:extent cx="5472950" cy="3257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051" cy="3258801"/>
                    </a:xfrm>
                    <a:prstGeom prst="rect">
                      <a:avLst/>
                    </a:prstGeom>
                    <a:noFill/>
                    <a:ln>
                      <a:noFill/>
                    </a:ln>
                  </pic:spPr>
                </pic:pic>
              </a:graphicData>
            </a:graphic>
          </wp:inline>
        </w:drawing>
      </w:r>
      <w:r>
        <w:rPr>
          <w:b/>
          <w:sz w:val="28"/>
          <w:szCs w:val="28"/>
        </w:rPr>
        <w:br/>
      </w:r>
      <w:r w:rsidRPr="00FB620A">
        <w:rPr>
          <w:bCs/>
        </w:rPr>
        <w:t>Bruxelles est la capitale de la Belgique. Elle compte 19 communes</w:t>
      </w:r>
      <w:r w:rsidR="00946FDE" w:rsidRPr="00FB620A">
        <w:rPr>
          <w:bCs/>
        </w:rPr>
        <w:t xml:space="preserve">. </w:t>
      </w:r>
      <w:r w:rsidR="00946FDE" w:rsidRPr="00FB620A">
        <w:rPr>
          <w:bCs/>
        </w:rPr>
        <w:br/>
      </w:r>
      <w:r w:rsidR="00946FDE" w:rsidRPr="00FB620A">
        <w:rPr>
          <w:bCs/>
        </w:rPr>
        <w:lastRenderedPageBreak/>
        <w:br/>
      </w:r>
      <w:r w:rsidR="00752E6A">
        <w:rPr>
          <w:rFonts w:cstheme="minorHAnsi"/>
        </w:rPr>
        <w:t xml:space="preserve">La commune de </w:t>
      </w:r>
      <w:r w:rsidR="00752E6A" w:rsidRPr="000A62E2">
        <w:rPr>
          <w:rFonts w:cstheme="minorHAnsi"/>
        </w:rPr>
        <w:t>Saint-Josse et</w:t>
      </w:r>
      <w:r w:rsidR="00752E6A">
        <w:rPr>
          <w:rFonts w:cstheme="minorHAnsi"/>
        </w:rPr>
        <w:t xml:space="preserve"> de</w:t>
      </w:r>
      <w:r w:rsidR="00752E6A" w:rsidRPr="000A62E2">
        <w:rPr>
          <w:rFonts w:cstheme="minorHAnsi"/>
        </w:rPr>
        <w:t xml:space="preserve"> Molenbeek compte</w:t>
      </w:r>
      <w:r w:rsidR="00752E6A">
        <w:rPr>
          <w:rFonts w:cstheme="minorHAnsi"/>
        </w:rPr>
        <w:t>nt</w:t>
      </w:r>
      <w:r w:rsidR="00752E6A" w:rsidRPr="000A62E2">
        <w:rPr>
          <w:rFonts w:cstheme="minorHAnsi"/>
        </w:rPr>
        <w:t xml:space="preserve"> la plus forte proportion de Nord-Africains (45 et 41,2%).  </w:t>
      </w:r>
    </w:p>
    <w:p w14:paraId="47114FF1" w14:textId="2808B578" w:rsidR="00612F41" w:rsidRDefault="00C55A04">
      <w:pPr>
        <w:rPr>
          <w:b/>
        </w:rPr>
      </w:pPr>
      <w:r w:rsidRPr="000A62E2">
        <w:rPr>
          <w:rFonts w:cstheme="minorHAnsi"/>
        </w:rPr>
        <w:t>Tableau 1 : Proportion de Nord-Africains (%) dans les 19 communes de Bruxelles, 2016, par ordre décroissant.</w:t>
      </w:r>
    </w:p>
    <w:p w14:paraId="442C1F00" w14:textId="335F2AB8" w:rsidR="00612F41" w:rsidRDefault="00257A69">
      <w:pPr>
        <w:rPr>
          <w:b/>
        </w:rPr>
      </w:pPr>
      <w:r>
        <w:rPr>
          <w:noProof/>
        </w:rPr>
        <w:drawing>
          <wp:inline distT="0" distB="0" distL="0" distR="0" wp14:anchorId="373CFD86" wp14:editId="5767111F">
            <wp:extent cx="6019800" cy="2911030"/>
            <wp:effectExtent l="0" t="0" r="0" b="3810"/>
            <wp:docPr id="17" name="Image 17"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rçu de l’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529" cy="2911866"/>
                    </a:xfrm>
                    <a:prstGeom prst="rect">
                      <a:avLst/>
                    </a:prstGeom>
                    <a:noFill/>
                    <a:ln>
                      <a:noFill/>
                    </a:ln>
                  </pic:spPr>
                </pic:pic>
              </a:graphicData>
            </a:graphic>
          </wp:inline>
        </w:drawing>
      </w:r>
    </w:p>
    <w:p w14:paraId="6444F98A" w14:textId="77777777" w:rsidR="0075675D" w:rsidRDefault="0075675D">
      <w:pPr>
        <w:rPr>
          <w:b/>
        </w:rPr>
      </w:pPr>
    </w:p>
    <w:p w14:paraId="4EAE2B35" w14:textId="69E73409" w:rsidR="00E87E14" w:rsidRPr="00680DB4" w:rsidRDefault="00347519" w:rsidP="00E87E14">
      <w:pPr>
        <w:rPr>
          <w:b/>
        </w:rPr>
      </w:pPr>
      <w:r w:rsidRPr="00B0251A">
        <w:rPr>
          <w:b/>
          <w:sz w:val="28"/>
          <w:szCs w:val="28"/>
        </w:rPr>
        <w:t xml:space="preserve">1. </w:t>
      </w:r>
      <w:r w:rsidR="00CB7448">
        <w:rPr>
          <w:b/>
          <w:sz w:val="28"/>
          <w:szCs w:val="28"/>
        </w:rPr>
        <w:t>Taux de chômage</w:t>
      </w:r>
      <w:r w:rsidR="00E87E14">
        <w:rPr>
          <w:b/>
          <w:sz w:val="28"/>
          <w:szCs w:val="28"/>
        </w:rPr>
        <w:t>, revenus et dépendance sociale</w:t>
      </w:r>
      <w:r w:rsidR="00B62464">
        <w:rPr>
          <w:b/>
          <w:sz w:val="28"/>
          <w:szCs w:val="28"/>
        </w:rPr>
        <w:br/>
      </w:r>
      <w:r w:rsidR="00B62464">
        <w:rPr>
          <w:b/>
          <w:sz w:val="28"/>
          <w:szCs w:val="28"/>
        </w:rPr>
        <w:br/>
      </w:r>
      <w:r w:rsidR="00B62464" w:rsidRPr="00B62464">
        <w:rPr>
          <w:b/>
        </w:rPr>
        <w:t>1.1 Taux de chômage (%) en fonction de la proportion de nord-africains (%)</w:t>
      </w:r>
      <w:r w:rsidR="00B62464" w:rsidRPr="00B62464">
        <w:rPr>
          <w:b/>
        </w:rPr>
        <w:br/>
      </w:r>
      <w:r w:rsidR="00E87E14">
        <w:rPr>
          <w:b/>
          <w:sz w:val="28"/>
          <w:szCs w:val="28"/>
        </w:rPr>
        <w:br/>
      </w:r>
      <w:r w:rsidR="00C87E3F" w:rsidRPr="00A44BB8">
        <w:rPr>
          <w:rFonts w:cstheme="minorHAnsi"/>
          <w:noProof/>
          <w:lang w:val="en-US"/>
        </w:rPr>
        <w:drawing>
          <wp:inline distT="0" distB="0" distL="0" distR="0" wp14:anchorId="258BC430" wp14:editId="7DF23B4D">
            <wp:extent cx="3800475" cy="23169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686" cy="2321312"/>
                    </a:xfrm>
                    <a:prstGeom prst="rect">
                      <a:avLst/>
                    </a:prstGeom>
                    <a:noFill/>
                    <a:ln>
                      <a:noFill/>
                    </a:ln>
                  </pic:spPr>
                </pic:pic>
              </a:graphicData>
            </a:graphic>
          </wp:inline>
        </w:drawing>
      </w:r>
      <w:r w:rsidR="00273FBE">
        <w:rPr>
          <w:b/>
        </w:rPr>
        <w:br/>
      </w:r>
      <w:r w:rsidR="00860120">
        <w:rPr>
          <w:b/>
        </w:rPr>
        <w:br/>
      </w:r>
      <w:r w:rsidR="00860120" w:rsidRPr="00680DB4">
        <w:rPr>
          <w:bCs/>
        </w:rPr>
        <w:t>La co</w:t>
      </w:r>
      <w:r w:rsidRPr="00680DB4">
        <w:rPr>
          <w:bCs/>
        </w:rPr>
        <w:t>rrélation retrouvée est de +0,96</w:t>
      </w:r>
      <w:r w:rsidR="00860120" w:rsidRPr="00680DB4">
        <w:rPr>
          <w:bCs/>
        </w:rPr>
        <w:t xml:space="preserve">. </w:t>
      </w:r>
      <w:r w:rsidR="00273FBE" w:rsidRPr="00680DB4">
        <w:rPr>
          <w:bCs/>
        </w:rPr>
        <w:br/>
      </w:r>
      <w:r w:rsidR="008F2C93" w:rsidRPr="00680DB4">
        <w:rPr>
          <w:bCs/>
        </w:rPr>
        <w:br/>
        <w:t xml:space="preserve">Il y a en général une corrélation négative entre QI et taux de chômage car les individus et populations moins intelligentes atteignent des niveaux d’éducation inférieure pour lesquels la demande sur le </w:t>
      </w:r>
      <w:r w:rsidR="008F2C93" w:rsidRPr="00680DB4">
        <w:rPr>
          <w:bCs/>
        </w:rPr>
        <w:lastRenderedPageBreak/>
        <w:t>marché de l’emploi est faible</w:t>
      </w:r>
      <w:r w:rsidR="003622D5" w:rsidRPr="00680DB4">
        <w:rPr>
          <w:bCs/>
        </w:rPr>
        <w:t xml:space="preserve"> et sont sous-représentés dans les emplois à forte demande cognitive qui sont mieux rémunérés</w:t>
      </w:r>
      <w:r w:rsidR="003622D5" w:rsidRPr="009B244B">
        <w:rPr>
          <w:bCs/>
        </w:rPr>
        <w:t xml:space="preserve">. </w:t>
      </w:r>
      <w:r w:rsidR="008F2C93" w:rsidRPr="009B244B">
        <w:rPr>
          <w:bCs/>
        </w:rPr>
        <w:t xml:space="preserve"> </w:t>
      </w:r>
      <w:r w:rsidR="009B244B" w:rsidRPr="009B244B">
        <w:rPr>
          <w:bCs/>
        </w:rPr>
        <w:t>A Saint-Josse, le taux de chômage atteint 35%, le plus haut de Belgique.</w:t>
      </w:r>
      <w:r w:rsidR="00273FBE" w:rsidRPr="009B244B">
        <w:rPr>
          <w:bCs/>
        </w:rPr>
        <w:br/>
      </w:r>
      <w:r w:rsidR="00056C1A">
        <w:rPr>
          <w:b/>
          <w:sz w:val="28"/>
          <w:szCs w:val="28"/>
        </w:rPr>
        <w:br/>
      </w:r>
      <w:r w:rsidR="00B62464" w:rsidRPr="00B62464">
        <w:rPr>
          <w:b/>
        </w:rPr>
        <w:t>1.</w:t>
      </w:r>
      <w:r w:rsidR="00B62464">
        <w:rPr>
          <w:b/>
        </w:rPr>
        <w:t>2</w:t>
      </w:r>
      <w:r w:rsidR="00B62464" w:rsidRPr="00B62464">
        <w:rPr>
          <w:b/>
        </w:rPr>
        <w:t xml:space="preserve"> </w:t>
      </w:r>
      <w:r w:rsidR="00B62464">
        <w:rPr>
          <w:b/>
        </w:rPr>
        <w:t>Revenu médian (euros)</w:t>
      </w:r>
      <w:r w:rsidR="00B62464" w:rsidRPr="00B62464">
        <w:rPr>
          <w:b/>
        </w:rPr>
        <w:t xml:space="preserve"> en fonction de la proportion de nord-africains (%)</w:t>
      </w:r>
      <w:r w:rsidR="00273FBE">
        <w:rPr>
          <w:b/>
        </w:rPr>
        <w:br/>
      </w:r>
      <w:r w:rsidR="005F0D00" w:rsidRPr="00A44BB8">
        <w:rPr>
          <w:rFonts w:cstheme="minorHAnsi"/>
          <w:b/>
          <w:noProof/>
          <w:lang w:val="en-US"/>
        </w:rPr>
        <w:drawing>
          <wp:inline distT="0" distB="0" distL="0" distR="0" wp14:anchorId="7ED44B67" wp14:editId="6C53EC19">
            <wp:extent cx="3613198" cy="2552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1966" cy="2573025"/>
                    </a:xfrm>
                    <a:prstGeom prst="rect">
                      <a:avLst/>
                    </a:prstGeom>
                    <a:noFill/>
                    <a:ln>
                      <a:noFill/>
                    </a:ln>
                  </pic:spPr>
                </pic:pic>
              </a:graphicData>
            </a:graphic>
          </wp:inline>
        </w:drawing>
      </w:r>
      <w:r w:rsidR="00C16D17" w:rsidRPr="00680DB4">
        <w:rPr>
          <w:bCs/>
        </w:rPr>
        <w:br/>
      </w:r>
      <w:r w:rsidR="002329BE" w:rsidRPr="00A87223">
        <w:rPr>
          <w:rFonts w:cstheme="minorHAnsi"/>
          <w:bCs/>
        </w:rPr>
        <w:t>La corrélation retrouvée est de -0,90. Saint Josse est la commune la plus pauvre de</w:t>
      </w:r>
      <w:r w:rsidR="002329BE">
        <w:rPr>
          <w:rFonts w:cstheme="minorHAnsi"/>
          <w:bCs/>
        </w:rPr>
        <w:t xml:space="preserve"> Bruxelles et de l’ensemble</w:t>
      </w:r>
      <w:r w:rsidR="002329BE" w:rsidRPr="00A87223">
        <w:rPr>
          <w:rFonts w:cstheme="minorHAnsi"/>
          <w:bCs/>
        </w:rPr>
        <w:t xml:space="preserve"> la Belgique.</w:t>
      </w:r>
      <w:r w:rsidR="002329BE">
        <w:rPr>
          <w:bCs/>
        </w:rPr>
        <w:t xml:space="preserve"> </w:t>
      </w:r>
      <w:r w:rsidR="00E87E14">
        <w:rPr>
          <w:bCs/>
        </w:rPr>
        <w:br/>
      </w:r>
      <w:r w:rsidR="00B62464">
        <w:rPr>
          <w:bCs/>
        </w:rPr>
        <w:br/>
      </w:r>
      <w:r w:rsidR="00B62464" w:rsidRPr="00B62464">
        <w:rPr>
          <w:b/>
        </w:rPr>
        <w:t>1.</w:t>
      </w:r>
      <w:r w:rsidR="00B62464">
        <w:rPr>
          <w:b/>
        </w:rPr>
        <w:t>3</w:t>
      </w:r>
      <w:r w:rsidR="00B62464" w:rsidRPr="00B62464">
        <w:rPr>
          <w:b/>
        </w:rPr>
        <w:t xml:space="preserve"> </w:t>
      </w:r>
      <w:r w:rsidR="00B62464">
        <w:rPr>
          <w:b/>
        </w:rPr>
        <w:t>Part des ménages en demande de logement soc</w:t>
      </w:r>
      <w:r w:rsidR="006501EF">
        <w:rPr>
          <w:b/>
        </w:rPr>
        <w:t>ial (%)</w:t>
      </w:r>
      <w:r w:rsidR="00B62464" w:rsidRPr="00B62464">
        <w:rPr>
          <w:b/>
        </w:rPr>
        <w:t xml:space="preserve"> en fonction de la proportion de nord-africains (%)</w:t>
      </w:r>
      <w:r w:rsidR="00B62464">
        <w:rPr>
          <w:bCs/>
        </w:rPr>
        <w:br/>
      </w:r>
      <w:r w:rsidR="00E87E14">
        <w:rPr>
          <w:bCs/>
        </w:rPr>
        <w:br/>
      </w:r>
      <w:r w:rsidR="00E87E14">
        <w:rPr>
          <w:b/>
          <w:noProof/>
          <w:lang w:eastAsia="fr-BE"/>
        </w:rPr>
        <w:drawing>
          <wp:inline distT="0" distB="0" distL="0" distR="0" wp14:anchorId="3CE5D5E0" wp14:editId="43DD1CFB">
            <wp:extent cx="3905250" cy="2909539"/>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0813" cy="2928584"/>
                    </a:xfrm>
                    <a:prstGeom prst="rect">
                      <a:avLst/>
                    </a:prstGeom>
                    <a:noFill/>
                    <a:ln>
                      <a:noFill/>
                    </a:ln>
                  </pic:spPr>
                </pic:pic>
              </a:graphicData>
            </a:graphic>
          </wp:inline>
        </w:drawing>
      </w:r>
      <w:r w:rsidR="00E87E14">
        <w:rPr>
          <w:b/>
        </w:rPr>
        <w:br/>
      </w:r>
      <w:r w:rsidR="00E87E14">
        <w:rPr>
          <w:b/>
        </w:rPr>
        <w:br/>
      </w:r>
      <w:r w:rsidR="00E87E14" w:rsidRPr="00680DB4">
        <w:rPr>
          <w:bCs/>
        </w:rPr>
        <w:t>Corrélation de +0.86.</w:t>
      </w:r>
      <w:r w:rsidR="00E87E14">
        <w:rPr>
          <w:bCs/>
        </w:rPr>
        <w:br/>
      </w:r>
      <w:r w:rsidR="006501EF">
        <w:rPr>
          <w:bCs/>
        </w:rPr>
        <w:br/>
      </w:r>
      <w:r w:rsidR="006501EF" w:rsidRPr="00B62464">
        <w:rPr>
          <w:b/>
        </w:rPr>
        <w:t>1.</w:t>
      </w:r>
      <w:r w:rsidR="006501EF">
        <w:rPr>
          <w:b/>
        </w:rPr>
        <w:t>4</w:t>
      </w:r>
      <w:r w:rsidR="006501EF" w:rsidRPr="00B62464">
        <w:rPr>
          <w:b/>
        </w:rPr>
        <w:t xml:space="preserve"> </w:t>
      </w:r>
      <w:r w:rsidR="006501EF">
        <w:rPr>
          <w:b/>
        </w:rPr>
        <w:t xml:space="preserve">Part des </w:t>
      </w:r>
      <w:r w:rsidR="006501EF">
        <w:rPr>
          <w:b/>
        </w:rPr>
        <w:t>enfants naissant dans un ménage sans revenu du travail</w:t>
      </w:r>
      <w:r w:rsidR="006501EF">
        <w:rPr>
          <w:b/>
        </w:rPr>
        <w:t xml:space="preserve"> (%)</w:t>
      </w:r>
      <w:r w:rsidR="006501EF" w:rsidRPr="00B62464">
        <w:rPr>
          <w:b/>
        </w:rPr>
        <w:t xml:space="preserve"> en fonction de la proportion de nord-africains (%)</w:t>
      </w:r>
      <w:r w:rsidR="00E87E14">
        <w:rPr>
          <w:bCs/>
        </w:rPr>
        <w:br/>
      </w:r>
      <w:r w:rsidR="00E87E14">
        <w:rPr>
          <w:bCs/>
        </w:rPr>
        <w:br/>
      </w:r>
      <w:r w:rsidR="00E87E14">
        <w:rPr>
          <w:b/>
          <w:noProof/>
          <w:lang w:eastAsia="fr-BE"/>
        </w:rPr>
        <w:lastRenderedPageBreak/>
        <w:drawing>
          <wp:inline distT="0" distB="0" distL="0" distR="0" wp14:anchorId="7B3315E2" wp14:editId="3BB74A09">
            <wp:extent cx="4552950" cy="32961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808" cy="3310561"/>
                    </a:xfrm>
                    <a:prstGeom prst="rect">
                      <a:avLst/>
                    </a:prstGeom>
                    <a:noFill/>
                    <a:ln>
                      <a:noFill/>
                    </a:ln>
                  </pic:spPr>
                </pic:pic>
              </a:graphicData>
            </a:graphic>
          </wp:inline>
        </w:drawing>
      </w:r>
      <w:r w:rsidR="00E87E14">
        <w:rPr>
          <w:b/>
        </w:rPr>
        <w:br/>
      </w:r>
      <w:r w:rsidR="00E87E14" w:rsidRPr="00680DB4">
        <w:rPr>
          <w:bCs/>
        </w:rPr>
        <w:t>Corrélation de +0.95</w:t>
      </w:r>
      <w:r w:rsidR="006501EF">
        <w:rPr>
          <w:bCs/>
        </w:rPr>
        <w:br/>
      </w:r>
      <w:r w:rsidR="006501EF">
        <w:rPr>
          <w:bCs/>
        </w:rPr>
        <w:br/>
      </w:r>
      <w:r w:rsidR="006501EF" w:rsidRPr="0025339D">
        <w:rPr>
          <w:b/>
        </w:rPr>
        <w:t>1.5</w:t>
      </w:r>
      <w:r w:rsidR="0025339D" w:rsidRPr="0025339D">
        <w:rPr>
          <w:b/>
        </w:rPr>
        <w:t xml:space="preserve"> Revenu d’intégration social</w:t>
      </w:r>
      <w:r w:rsidR="0025339D">
        <w:rPr>
          <w:b/>
        </w:rPr>
        <w:t xml:space="preserve"> </w:t>
      </w:r>
      <w:r w:rsidR="0025339D" w:rsidRPr="00B62464">
        <w:rPr>
          <w:b/>
        </w:rPr>
        <w:t xml:space="preserve">en fonction de la proportion de </w:t>
      </w:r>
      <w:r w:rsidR="00E319EC">
        <w:rPr>
          <w:b/>
        </w:rPr>
        <w:t>N</w:t>
      </w:r>
      <w:r w:rsidR="0025339D" w:rsidRPr="00B62464">
        <w:rPr>
          <w:b/>
        </w:rPr>
        <w:t>ord-</w:t>
      </w:r>
      <w:r w:rsidR="00E319EC">
        <w:rPr>
          <w:b/>
        </w:rPr>
        <w:t>A</w:t>
      </w:r>
      <w:r w:rsidR="0025339D" w:rsidRPr="00B62464">
        <w:rPr>
          <w:b/>
        </w:rPr>
        <w:t>fricains</w:t>
      </w:r>
      <w:r w:rsidR="00E319EC">
        <w:rPr>
          <w:b/>
        </w:rPr>
        <w:t>.</w:t>
      </w:r>
    </w:p>
    <w:p w14:paraId="1730848E" w14:textId="3180F52E" w:rsidR="00597741" w:rsidRPr="002329BE" w:rsidRDefault="00E87E14">
      <w:pPr>
        <w:rPr>
          <w:b/>
        </w:rPr>
      </w:pPr>
      <w:r>
        <w:rPr>
          <w:rFonts w:cstheme="minorHAnsi"/>
          <w:b/>
          <w:noProof/>
        </w:rPr>
        <w:drawing>
          <wp:inline distT="0" distB="0" distL="0" distR="0" wp14:anchorId="3B4AAF24" wp14:editId="2976BAAC">
            <wp:extent cx="4410075" cy="33406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282" cy="3349120"/>
                    </a:xfrm>
                    <a:prstGeom prst="rect">
                      <a:avLst/>
                    </a:prstGeom>
                    <a:noFill/>
                    <a:ln>
                      <a:noFill/>
                    </a:ln>
                  </pic:spPr>
                </pic:pic>
              </a:graphicData>
            </a:graphic>
          </wp:inline>
        </w:drawing>
      </w:r>
      <w:r>
        <w:rPr>
          <w:b/>
        </w:rPr>
        <w:br/>
      </w:r>
      <w:r w:rsidRPr="00680DB4">
        <w:rPr>
          <w:bCs/>
        </w:rPr>
        <w:t>Corrélation de +0.89.</w:t>
      </w:r>
      <w:r w:rsidR="002329BE">
        <w:rPr>
          <w:rFonts w:cstheme="minorHAnsi"/>
          <w:b/>
        </w:rPr>
        <w:br/>
      </w:r>
    </w:p>
    <w:p w14:paraId="5A40AC79" w14:textId="06D93100" w:rsidR="004C1642" w:rsidRDefault="004C1642" w:rsidP="004C1642">
      <w:pPr>
        <w:rPr>
          <w:b/>
        </w:rPr>
      </w:pPr>
      <w:r>
        <w:rPr>
          <w:b/>
          <w:sz w:val="28"/>
          <w:szCs w:val="28"/>
        </w:rPr>
        <w:t>2</w:t>
      </w:r>
      <w:r w:rsidRPr="00CB7448">
        <w:rPr>
          <w:b/>
          <w:sz w:val="28"/>
          <w:szCs w:val="28"/>
        </w:rPr>
        <w:t xml:space="preserve">. </w:t>
      </w:r>
      <w:r w:rsidRPr="00E55CEB">
        <w:rPr>
          <w:b/>
          <w:sz w:val="28"/>
          <w:szCs w:val="28"/>
        </w:rPr>
        <w:t xml:space="preserve">Education </w:t>
      </w:r>
      <w:r>
        <w:rPr>
          <w:b/>
          <w:sz w:val="28"/>
          <w:szCs w:val="28"/>
        </w:rPr>
        <w:t>et intelligence</w:t>
      </w:r>
      <w:r w:rsidRPr="00E55CEB">
        <w:rPr>
          <w:b/>
          <w:sz w:val="28"/>
          <w:szCs w:val="28"/>
        </w:rPr>
        <w:br/>
      </w:r>
      <w:r>
        <w:rPr>
          <w:b/>
          <w:bCs/>
        </w:rPr>
        <w:t>2</w:t>
      </w:r>
      <w:r w:rsidRPr="00680DB4">
        <w:rPr>
          <w:b/>
          <w:bCs/>
        </w:rPr>
        <w:t xml:space="preserve">.1 Proportion d’universitaire en fonction de la population NA. </w:t>
      </w:r>
      <w:r w:rsidRPr="00680DB4">
        <w:rPr>
          <w:b/>
          <w:bCs/>
        </w:rPr>
        <w:br/>
      </w:r>
      <w:r>
        <w:rPr>
          <w:noProof/>
          <w:lang w:eastAsia="fr-BE"/>
        </w:rPr>
        <w:lastRenderedPageBreak/>
        <w:drawing>
          <wp:inline distT="0" distB="0" distL="0" distR="0" wp14:anchorId="37FFCFD8" wp14:editId="6795DC46">
            <wp:extent cx="3619500" cy="2492900"/>
            <wp:effectExtent l="0" t="0" r="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677" cy="2506108"/>
                    </a:xfrm>
                    <a:prstGeom prst="rect">
                      <a:avLst/>
                    </a:prstGeom>
                    <a:noFill/>
                    <a:ln>
                      <a:noFill/>
                    </a:ln>
                  </pic:spPr>
                </pic:pic>
              </a:graphicData>
            </a:graphic>
          </wp:inline>
        </w:drawing>
      </w:r>
      <w:r w:rsidRPr="00E55CEB">
        <w:br/>
        <w:t>Corrélation = -0.8</w:t>
      </w:r>
      <w:r w:rsidRPr="00E55CEB">
        <w:br/>
      </w:r>
      <w:r w:rsidRPr="00E55CEB">
        <w:rPr>
          <w:b/>
          <w:sz w:val="28"/>
          <w:szCs w:val="28"/>
        </w:rPr>
        <w:br/>
      </w:r>
      <w:r w:rsidR="00A91670">
        <w:rPr>
          <w:rFonts w:eastAsia="Times New Roman" w:cs="Calibri"/>
          <w:b/>
          <w:color w:val="000000"/>
          <w:lang w:eastAsia="fr-BE"/>
        </w:rPr>
        <w:t>2</w:t>
      </w:r>
      <w:r w:rsidRPr="00E55CEB">
        <w:rPr>
          <w:rFonts w:eastAsia="Times New Roman" w:cs="Calibri"/>
          <w:b/>
          <w:color w:val="000000"/>
          <w:lang w:eastAsia="fr-BE"/>
        </w:rPr>
        <w:t>.2 Proportion avec 2 ans de re</w:t>
      </w:r>
      <w:r>
        <w:rPr>
          <w:rFonts w:eastAsia="Times New Roman" w:cs="Calibri"/>
          <w:b/>
          <w:color w:val="000000"/>
          <w:lang w:eastAsia="fr-BE"/>
        </w:rPr>
        <w:t>tard scolaire</w:t>
      </w:r>
      <w:r w:rsidRPr="00E55CEB">
        <w:rPr>
          <w:rFonts w:eastAsia="Times New Roman" w:cs="Calibri"/>
          <w:b/>
          <w:color w:val="000000"/>
          <w:lang w:eastAsia="fr-BE"/>
        </w:rPr>
        <w:t xml:space="preserve"> 2013-201</w:t>
      </w:r>
      <w:r>
        <w:rPr>
          <w:rFonts w:eastAsia="Times New Roman" w:cs="Calibri"/>
          <w:b/>
          <w:color w:val="000000"/>
          <w:lang w:eastAsia="fr-BE"/>
        </w:rPr>
        <w:t xml:space="preserve">4 </w:t>
      </w:r>
      <w:r w:rsidRPr="00E55CEB">
        <w:rPr>
          <w:rFonts w:eastAsia="Times New Roman" w:cs="Calibri"/>
          <w:b/>
          <w:color w:val="000000"/>
          <w:lang w:eastAsia="fr-BE"/>
        </w:rPr>
        <w:t xml:space="preserve">(x) </w:t>
      </w:r>
      <w:r>
        <w:rPr>
          <w:rFonts w:eastAsia="Times New Roman" w:cs="Calibri"/>
          <w:b/>
          <w:color w:val="000000"/>
          <w:lang w:eastAsia="fr-BE"/>
        </w:rPr>
        <w:t xml:space="preserve">en fonction de la population nord-africaine </w:t>
      </w:r>
      <w:r w:rsidRPr="00E55CEB">
        <w:rPr>
          <w:rFonts w:eastAsia="Times New Roman" w:cs="Calibri"/>
          <w:b/>
          <w:color w:val="000000"/>
          <w:lang w:eastAsia="fr-BE"/>
        </w:rPr>
        <w:t xml:space="preserve"> (%)</w:t>
      </w:r>
      <w:r w:rsidRPr="00E55CEB">
        <w:rPr>
          <w:b/>
          <w:sz w:val="28"/>
          <w:szCs w:val="28"/>
        </w:rPr>
        <w:br/>
      </w:r>
      <w:r>
        <w:rPr>
          <w:rFonts w:cstheme="minorHAnsi"/>
          <w:b/>
          <w:noProof/>
          <w:sz w:val="28"/>
          <w:szCs w:val="28"/>
        </w:rPr>
        <w:drawing>
          <wp:inline distT="0" distB="0" distL="0" distR="0" wp14:anchorId="7706A160" wp14:editId="5469C481">
            <wp:extent cx="3028950" cy="18002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r w:rsidRPr="00E55CEB">
        <w:rPr>
          <w:b/>
          <w:sz w:val="28"/>
          <w:szCs w:val="28"/>
        </w:rPr>
        <w:br/>
      </w:r>
      <w:r w:rsidRPr="00680DB4">
        <w:rPr>
          <w:bCs/>
        </w:rPr>
        <w:t>Corrélation de +0.923</w:t>
      </w:r>
      <w:r>
        <w:rPr>
          <w:b/>
        </w:rPr>
        <w:br/>
      </w:r>
    </w:p>
    <w:p w14:paraId="7E258727" w14:textId="7622FE4C" w:rsidR="004C1642" w:rsidRPr="00A91670" w:rsidRDefault="00A91670" w:rsidP="004C1642">
      <w:pPr>
        <w:rPr>
          <w:b/>
          <w:lang w:val="en-US"/>
        </w:rPr>
      </w:pPr>
      <w:r>
        <w:rPr>
          <w:rFonts w:eastAsia="Times New Roman" w:cs="Calibri"/>
          <w:b/>
          <w:color w:val="000000"/>
          <w:lang w:eastAsia="fr-BE"/>
        </w:rPr>
        <w:t>2</w:t>
      </w:r>
      <w:r w:rsidR="004C1642" w:rsidRPr="00E55CEB">
        <w:rPr>
          <w:rFonts w:eastAsia="Times New Roman" w:cs="Calibri"/>
          <w:b/>
          <w:color w:val="000000"/>
          <w:lang w:eastAsia="fr-BE"/>
        </w:rPr>
        <w:t xml:space="preserve">.3 </w:t>
      </w:r>
      <w:r w:rsidR="004C1642" w:rsidRPr="00E55CEB">
        <w:rPr>
          <w:b/>
        </w:rPr>
        <w:t>2013-2014 proportion d’élèves admis dans d</w:t>
      </w:r>
      <w:r w:rsidR="004C1642">
        <w:rPr>
          <w:b/>
        </w:rPr>
        <w:t>es classes pour déficients mentaux (x) en fonction de la population nord-africaine</w:t>
      </w:r>
      <w:r w:rsidR="004C1642" w:rsidRPr="00E55CEB">
        <w:rPr>
          <w:b/>
        </w:rPr>
        <w:br/>
      </w:r>
      <w:r w:rsidR="004C1642" w:rsidRPr="00A44BB8">
        <w:rPr>
          <w:rFonts w:cstheme="minorHAnsi"/>
          <w:noProof/>
          <w:lang w:val="en-US"/>
        </w:rPr>
        <w:drawing>
          <wp:inline distT="0" distB="0" distL="0" distR="0" wp14:anchorId="78A4609A" wp14:editId="551AE8AF">
            <wp:extent cx="4687863" cy="2371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9056" cy="2372329"/>
                    </a:xfrm>
                    <a:prstGeom prst="rect">
                      <a:avLst/>
                    </a:prstGeom>
                    <a:noFill/>
                    <a:ln>
                      <a:noFill/>
                    </a:ln>
                  </pic:spPr>
                </pic:pic>
              </a:graphicData>
            </a:graphic>
          </wp:inline>
        </w:drawing>
      </w:r>
      <w:r w:rsidR="004C1642" w:rsidRPr="00E55CEB">
        <w:rPr>
          <w:b/>
        </w:rPr>
        <w:br/>
      </w:r>
      <w:r w:rsidR="004C1642" w:rsidRPr="00E55CEB">
        <w:rPr>
          <w:bCs/>
        </w:rPr>
        <w:t>Corrélation de +0.901</w:t>
      </w:r>
      <w:r w:rsidR="004C1642" w:rsidRPr="00E55CEB">
        <w:rPr>
          <w:b/>
          <w:sz w:val="28"/>
          <w:szCs w:val="28"/>
        </w:rPr>
        <w:br/>
      </w:r>
      <w:r w:rsidR="003370FB" w:rsidRPr="000A62E2">
        <w:rPr>
          <w:rFonts w:cstheme="minorHAnsi"/>
          <w:bCs/>
        </w:rPr>
        <w:t xml:space="preserve">Le QI moyen des Nord-Africains est d’à peu près 85 et ceci transparait se traduit </w:t>
      </w:r>
      <w:r w:rsidR="003370FB" w:rsidRPr="000A62E2">
        <w:rPr>
          <w:rFonts w:cstheme="minorHAnsi"/>
          <w:bCs/>
        </w:rPr>
        <w:t>notamment</w:t>
      </w:r>
      <w:r w:rsidR="003370FB" w:rsidRPr="000A62E2">
        <w:rPr>
          <w:rFonts w:cstheme="minorHAnsi"/>
          <w:bCs/>
        </w:rPr>
        <w:t xml:space="preserve"> par une </w:t>
      </w:r>
      <w:r w:rsidR="003370FB" w:rsidRPr="000A62E2">
        <w:rPr>
          <w:rFonts w:cstheme="minorHAnsi"/>
          <w:bCs/>
        </w:rPr>
        <w:lastRenderedPageBreak/>
        <w:t xml:space="preserve">fréquence très supérieure de déficients mentaux, qui doivent être pris en charge par la société. </w:t>
      </w:r>
      <w:r w:rsidR="003370FB" w:rsidRPr="000A62E2">
        <w:rPr>
          <w:rFonts w:cstheme="minorHAnsi"/>
          <w:bCs/>
        </w:rPr>
        <w:br/>
      </w:r>
      <w:r w:rsidR="004C1642">
        <w:rPr>
          <w:b/>
          <w:sz w:val="28"/>
          <w:szCs w:val="28"/>
        </w:rPr>
        <w:br/>
      </w:r>
      <w:r w:rsidRPr="00E319EC">
        <w:rPr>
          <w:rFonts w:eastAsia="Times New Roman" w:cs="Calibri"/>
          <w:b/>
          <w:color w:val="000000"/>
          <w:lang w:val="en-US" w:eastAsia="fr-BE"/>
        </w:rPr>
        <w:t xml:space="preserve">2.4 </w:t>
      </w:r>
      <w:r w:rsidR="004C1642" w:rsidRPr="00E319EC">
        <w:rPr>
          <w:rFonts w:eastAsia="Times New Roman" w:cs="Calibri"/>
          <w:b/>
          <w:color w:val="000000"/>
          <w:lang w:val="en-US" w:eastAsia="fr-BE"/>
        </w:rPr>
        <w:t xml:space="preserve">General humanities/technical and </w:t>
      </w:r>
      <w:proofErr w:type="spellStart"/>
      <w:r w:rsidR="004C1642" w:rsidRPr="00E319EC">
        <w:rPr>
          <w:rFonts w:eastAsia="Times New Roman" w:cs="Calibri"/>
          <w:b/>
          <w:color w:val="000000"/>
          <w:lang w:val="en-US" w:eastAsia="fr-BE"/>
        </w:rPr>
        <w:t>professionnal</w:t>
      </w:r>
      <w:proofErr w:type="spellEnd"/>
      <w:r w:rsidR="004C1642" w:rsidRPr="00E319EC">
        <w:rPr>
          <w:rFonts w:eastAsia="Times New Roman" w:cs="Calibri"/>
          <w:b/>
          <w:color w:val="000000"/>
          <w:lang w:val="en-US" w:eastAsia="fr-BE"/>
        </w:rPr>
        <w:t xml:space="preserve"> humanities</w:t>
      </w:r>
      <w:r w:rsidR="004C1642" w:rsidRPr="00E319EC">
        <w:rPr>
          <w:rStyle w:val="Appelnotedebasdep"/>
          <w:rFonts w:eastAsia="Times New Roman" w:cs="Calibri"/>
          <w:b/>
          <w:color w:val="000000"/>
          <w:lang w:eastAsia="fr-BE"/>
        </w:rPr>
        <w:footnoteReference w:id="1"/>
      </w:r>
      <w:r w:rsidR="004C1642" w:rsidRPr="00E319EC">
        <w:rPr>
          <w:rFonts w:eastAsia="Times New Roman" w:cs="Calibri"/>
          <w:b/>
          <w:color w:val="000000"/>
          <w:lang w:val="en-US" w:eastAsia="fr-BE"/>
        </w:rPr>
        <w:t>, ratio (y) as a function of the North-</w:t>
      </w:r>
      <w:proofErr w:type="spellStart"/>
      <w:r w:rsidR="004C1642" w:rsidRPr="00E319EC">
        <w:rPr>
          <w:rFonts w:eastAsia="Times New Roman" w:cs="Calibri"/>
          <w:b/>
          <w:color w:val="000000"/>
          <w:lang w:val="en-US" w:eastAsia="fr-BE"/>
        </w:rPr>
        <w:t>african</w:t>
      </w:r>
      <w:proofErr w:type="spellEnd"/>
      <w:r w:rsidR="004C1642" w:rsidRPr="00E319EC">
        <w:rPr>
          <w:rFonts w:eastAsia="Times New Roman" w:cs="Calibri"/>
          <w:b/>
          <w:color w:val="000000"/>
          <w:lang w:val="en-US" w:eastAsia="fr-BE"/>
        </w:rPr>
        <w:t xml:space="preserve"> population (x)</w:t>
      </w:r>
    </w:p>
    <w:p w14:paraId="220300D0" w14:textId="6B297B61" w:rsidR="00F669F2" w:rsidRDefault="004C1642" w:rsidP="004C1642">
      <w:pPr>
        <w:rPr>
          <w:b/>
        </w:rPr>
      </w:pPr>
      <w:r w:rsidRPr="00DC48B2">
        <w:rPr>
          <w:noProof/>
          <w:lang w:eastAsia="fr-BE"/>
        </w:rPr>
        <w:drawing>
          <wp:inline distT="0" distB="0" distL="0" distR="0" wp14:anchorId="045D5B6B" wp14:editId="0C88C32F">
            <wp:extent cx="2952750" cy="1790700"/>
            <wp:effectExtent l="0" t="0" r="0" b="0"/>
            <wp:docPr id="14" name="Graphiqu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D4082">
        <w:rPr>
          <w:b/>
          <w:sz w:val="28"/>
          <w:szCs w:val="28"/>
        </w:rPr>
        <w:br/>
      </w:r>
      <w:r>
        <w:rPr>
          <w:bCs/>
        </w:rPr>
        <w:t>C</w:t>
      </w:r>
      <w:r w:rsidRPr="00CD4082">
        <w:rPr>
          <w:bCs/>
        </w:rPr>
        <w:t>orr</w:t>
      </w:r>
      <w:r>
        <w:rPr>
          <w:bCs/>
        </w:rPr>
        <w:t>é</w:t>
      </w:r>
      <w:r w:rsidRPr="00CD4082">
        <w:rPr>
          <w:bCs/>
        </w:rPr>
        <w:t xml:space="preserve">lation </w:t>
      </w:r>
      <w:proofErr w:type="spellStart"/>
      <w:r w:rsidRPr="00CD4082">
        <w:rPr>
          <w:bCs/>
        </w:rPr>
        <w:t>is</w:t>
      </w:r>
      <w:proofErr w:type="spellEnd"/>
      <w:r w:rsidRPr="00CD4082">
        <w:rPr>
          <w:bCs/>
        </w:rPr>
        <w:t xml:space="preserve"> -0,85.</w:t>
      </w:r>
      <w:r>
        <w:rPr>
          <w:b/>
          <w:sz w:val="28"/>
          <w:szCs w:val="28"/>
        </w:rPr>
        <w:br/>
      </w:r>
      <w:r>
        <w:rPr>
          <w:b/>
          <w:sz w:val="28"/>
          <w:szCs w:val="28"/>
        </w:rPr>
        <w:br/>
      </w:r>
      <w:r w:rsidR="00850896">
        <w:rPr>
          <w:b/>
          <w:sz w:val="28"/>
          <w:szCs w:val="28"/>
        </w:rPr>
        <w:t>3</w:t>
      </w:r>
      <w:r w:rsidR="00597741">
        <w:rPr>
          <w:b/>
          <w:sz w:val="28"/>
          <w:szCs w:val="28"/>
        </w:rPr>
        <w:t>. Croissance de la population</w:t>
      </w:r>
      <w:r w:rsidR="00273FBE">
        <w:rPr>
          <w:b/>
        </w:rPr>
        <w:br/>
      </w:r>
      <w:r w:rsidR="002937CC" w:rsidRPr="00A44BB8">
        <w:rPr>
          <w:rFonts w:cstheme="minorHAnsi"/>
          <w:noProof/>
          <w:lang w:val="en-US"/>
        </w:rPr>
        <w:drawing>
          <wp:inline distT="0" distB="0" distL="0" distR="0" wp14:anchorId="04F9C9DF" wp14:editId="7DC21446">
            <wp:extent cx="3362325" cy="2409825"/>
            <wp:effectExtent l="0" t="0" r="9525" b="952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325" cy="2409825"/>
                    </a:xfrm>
                    <a:prstGeom prst="rect">
                      <a:avLst/>
                    </a:prstGeom>
                    <a:noFill/>
                    <a:ln>
                      <a:noFill/>
                    </a:ln>
                  </pic:spPr>
                </pic:pic>
              </a:graphicData>
            </a:graphic>
          </wp:inline>
        </w:drawing>
      </w:r>
      <w:r w:rsidR="00273FBE">
        <w:rPr>
          <w:b/>
        </w:rPr>
        <w:br/>
      </w:r>
      <w:r w:rsidR="003622D5" w:rsidRPr="00680DB4">
        <w:rPr>
          <w:bCs/>
        </w:rPr>
        <w:t>Corrélation de +0.81.</w:t>
      </w:r>
      <w:r w:rsidR="003622D5" w:rsidRPr="00680DB4">
        <w:rPr>
          <w:bCs/>
        </w:rPr>
        <w:br/>
      </w:r>
      <w:r w:rsidR="00273FBE" w:rsidRPr="00680DB4">
        <w:rPr>
          <w:bCs/>
        </w:rPr>
        <w:br/>
      </w:r>
      <w:r w:rsidR="001D5F79" w:rsidRPr="00680DB4">
        <w:rPr>
          <w:bCs/>
        </w:rPr>
        <w:t>La croissance de la population est plus de 10 fois supérieure dans les communes bruxelloises à forte concentration afro-maghrébine. A SJTN et Molenbeek, la crois</w:t>
      </w:r>
      <w:r w:rsidR="00F35AC5" w:rsidRPr="00680DB4">
        <w:rPr>
          <w:bCs/>
        </w:rPr>
        <w:t xml:space="preserve">sance </w:t>
      </w:r>
      <w:r w:rsidR="001D5F79" w:rsidRPr="00680DB4">
        <w:rPr>
          <w:bCs/>
        </w:rPr>
        <w:t>de la population est de 24 et 20%</w:t>
      </w:r>
      <w:r w:rsidR="008F2C93" w:rsidRPr="00680DB4">
        <w:rPr>
          <w:bCs/>
        </w:rPr>
        <w:t xml:space="preserve"> par an</w:t>
      </w:r>
      <w:r w:rsidR="001D5F79" w:rsidRPr="00680DB4">
        <w:rPr>
          <w:bCs/>
        </w:rPr>
        <w:t xml:space="preserve">, contre un peu plus de 2% dans les communes de WSP et WB. </w:t>
      </w:r>
      <w:r w:rsidR="00273FBE" w:rsidRPr="00680DB4">
        <w:rPr>
          <w:bCs/>
        </w:rPr>
        <w:br/>
      </w:r>
      <w:r w:rsidR="00F35AC5" w:rsidRPr="00680DB4">
        <w:rPr>
          <w:bCs/>
        </w:rPr>
        <w:br/>
        <w:t xml:space="preserve">Les populations à bas Q.I ont tendance à faire plus d’enfants pour plusieurs raisons : </w:t>
      </w:r>
      <w:r w:rsidR="00F35AC5" w:rsidRPr="00680DB4">
        <w:rPr>
          <w:bCs/>
        </w:rPr>
        <w:br/>
        <w:t>-Une haute fécondité, tout comme un bas Q.I, sont deux caractéristiques biologiques d’une stratégie</w:t>
      </w:r>
      <w:r w:rsidR="008F2C93" w:rsidRPr="00680DB4">
        <w:rPr>
          <w:bCs/>
        </w:rPr>
        <w:t xml:space="preserve"> biologique</w:t>
      </w:r>
      <w:r w:rsidR="00F35AC5" w:rsidRPr="00680DB4">
        <w:rPr>
          <w:bCs/>
        </w:rPr>
        <w:t xml:space="preserve"> évolutive r (Rushton, 2000). </w:t>
      </w:r>
      <w:r w:rsidR="00F35AC5" w:rsidRPr="00680DB4">
        <w:rPr>
          <w:bCs/>
        </w:rPr>
        <w:br/>
        <w:t>-Les plus bas Q.I contrôlent moins bien leur contraception car ils sont moins capables d’entrevoir les conséquences de leurs actes</w:t>
      </w:r>
      <w:r w:rsidR="00F35AC5" w:rsidRPr="00680DB4">
        <w:rPr>
          <w:bCs/>
        </w:rPr>
        <w:br/>
        <w:t xml:space="preserve">-Les populations à bas Q.I produisent plus de testostérone (Nyborg) ce qui augmente la libido et la </w:t>
      </w:r>
      <w:r w:rsidR="00F35AC5" w:rsidRPr="00680DB4">
        <w:rPr>
          <w:bCs/>
        </w:rPr>
        <w:lastRenderedPageBreak/>
        <w:t>fréquence des rapports sexuels</w:t>
      </w:r>
      <w:r w:rsidR="00F35AC5" w:rsidRPr="00680DB4">
        <w:rPr>
          <w:bCs/>
        </w:rPr>
        <w:br/>
        <w:t>-Les populations à plus bas Q.I sont plus religieuses, ce qui augmente indirectement la fécondité dans la mesure où la religion encourage généralement à faire des enfants</w:t>
      </w:r>
      <w:r w:rsidR="00612D25">
        <w:rPr>
          <w:b/>
        </w:rPr>
        <w:br/>
      </w:r>
      <w:r w:rsidR="00BF6B44">
        <w:rPr>
          <w:b/>
        </w:rPr>
        <w:br/>
      </w:r>
      <w:r w:rsidR="00A91670">
        <w:rPr>
          <w:b/>
          <w:sz w:val="28"/>
          <w:szCs w:val="28"/>
        </w:rPr>
        <w:t>4</w:t>
      </w:r>
      <w:r w:rsidR="00CB7448" w:rsidRPr="00CB7448">
        <w:rPr>
          <w:b/>
          <w:sz w:val="28"/>
          <w:szCs w:val="28"/>
        </w:rPr>
        <w:t>. Délinquance</w:t>
      </w:r>
      <w:r w:rsidR="00CB7448">
        <w:rPr>
          <w:b/>
        </w:rPr>
        <w:t xml:space="preserve"> </w:t>
      </w:r>
      <w:r w:rsidR="00BF6B44">
        <w:rPr>
          <w:b/>
        </w:rPr>
        <w:br/>
      </w:r>
      <w:r w:rsidR="00BF6B44">
        <w:rPr>
          <w:b/>
        </w:rPr>
        <w:br/>
      </w:r>
      <w:r w:rsidR="00A91670">
        <w:rPr>
          <w:b/>
        </w:rPr>
        <w:t>4</w:t>
      </w:r>
      <w:r w:rsidR="00850896">
        <w:rPr>
          <w:b/>
        </w:rPr>
        <w:t>.1 Délinquance des mineurs</w:t>
      </w:r>
      <w:r w:rsidR="00BF6B44">
        <w:rPr>
          <w:b/>
        </w:rPr>
        <w:br/>
      </w:r>
      <w:r w:rsidR="00BF6B44">
        <w:rPr>
          <w:b/>
        </w:rPr>
        <w:br/>
      </w:r>
    </w:p>
    <w:p w14:paraId="15CA76BD" w14:textId="12849C6C" w:rsidR="00AB54B7" w:rsidRDefault="00612D25">
      <w:pPr>
        <w:rPr>
          <w:b/>
        </w:rPr>
      </w:pPr>
      <w:r>
        <w:rPr>
          <w:b/>
        </w:rPr>
        <w:br/>
      </w:r>
      <w:r w:rsidR="00F82CF5">
        <w:rPr>
          <w:rFonts w:cstheme="minorHAnsi"/>
          <w:noProof/>
        </w:rPr>
        <w:drawing>
          <wp:inline distT="0" distB="0" distL="0" distR="0" wp14:anchorId="4DB5269B" wp14:editId="3996F6D4">
            <wp:extent cx="3495675" cy="212407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5675" cy="2124075"/>
                    </a:xfrm>
                    <a:prstGeom prst="rect">
                      <a:avLst/>
                    </a:prstGeom>
                    <a:noFill/>
                    <a:ln>
                      <a:noFill/>
                    </a:ln>
                  </pic:spPr>
                </pic:pic>
              </a:graphicData>
            </a:graphic>
          </wp:inline>
        </w:drawing>
      </w:r>
      <w:r>
        <w:rPr>
          <w:b/>
        </w:rPr>
        <w:br/>
      </w:r>
      <w:r>
        <w:rPr>
          <w:b/>
        </w:rPr>
        <w:br/>
      </w:r>
      <w:r w:rsidR="003622D5" w:rsidRPr="00680DB4">
        <w:rPr>
          <w:bCs/>
        </w:rPr>
        <w:t>Corrélation = 0.91</w:t>
      </w:r>
      <w:r>
        <w:rPr>
          <w:b/>
        </w:rPr>
        <w:br/>
      </w:r>
      <w:r w:rsidR="007C2B2F">
        <w:rPr>
          <w:b/>
        </w:rPr>
        <w:br/>
      </w:r>
      <w:r w:rsidR="00A91670">
        <w:rPr>
          <w:b/>
        </w:rPr>
        <w:t>4</w:t>
      </w:r>
      <w:r w:rsidR="00850896">
        <w:rPr>
          <w:b/>
        </w:rPr>
        <w:t xml:space="preserve">.2 Délinquance </w:t>
      </w:r>
      <w:r w:rsidR="007C2B2F">
        <w:rPr>
          <w:b/>
        </w:rPr>
        <w:t>des</w:t>
      </w:r>
      <w:r w:rsidR="00850896">
        <w:rPr>
          <w:b/>
        </w:rPr>
        <w:t xml:space="preserve"> jeunes adultes (18-25 ans)</w:t>
      </w:r>
      <w:r>
        <w:rPr>
          <w:b/>
        </w:rPr>
        <w:br/>
      </w:r>
      <w:r w:rsidR="00CB7448">
        <w:rPr>
          <w:b/>
        </w:rPr>
        <w:br/>
      </w:r>
      <w:r w:rsidR="006620E2">
        <w:rPr>
          <w:rFonts w:cstheme="minorHAnsi"/>
          <w:noProof/>
        </w:rPr>
        <w:drawing>
          <wp:inline distT="0" distB="0" distL="0" distR="0" wp14:anchorId="63FC012D" wp14:editId="55C61268">
            <wp:extent cx="3190875" cy="21621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0875" cy="2162175"/>
                    </a:xfrm>
                    <a:prstGeom prst="rect">
                      <a:avLst/>
                    </a:prstGeom>
                    <a:noFill/>
                    <a:ln>
                      <a:noFill/>
                    </a:ln>
                  </pic:spPr>
                </pic:pic>
              </a:graphicData>
            </a:graphic>
          </wp:inline>
        </w:drawing>
      </w:r>
    </w:p>
    <w:p w14:paraId="610B8034" w14:textId="65C43D3F" w:rsidR="004C1642" w:rsidRPr="00CD4082" w:rsidRDefault="003622D5" w:rsidP="004C1642">
      <w:pPr>
        <w:rPr>
          <w:b/>
        </w:rPr>
      </w:pPr>
      <w:r w:rsidRPr="00680DB4">
        <w:rPr>
          <w:bCs/>
        </w:rPr>
        <w:t>Corrélation=0.92</w:t>
      </w:r>
      <w:r w:rsidR="00CB7448">
        <w:rPr>
          <w:b/>
        </w:rPr>
        <w:br/>
      </w:r>
    </w:p>
    <w:p w14:paraId="253A03D6" w14:textId="14824206" w:rsidR="00680DB4" w:rsidRPr="00680DB4" w:rsidRDefault="00680DB4" w:rsidP="00680DB4">
      <w:r w:rsidRPr="00CD4082">
        <w:rPr>
          <w:b/>
        </w:rPr>
        <w:br/>
      </w:r>
      <w:r w:rsidR="00A91670">
        <w:rPr>
          <w:b/>
          <w:sz w:val="28"/>
          <w:szCs w:val="28"/>
        </w:rPr>
        <w:t>5</w:t>
      </w:r>
      <w:r w:rsidR="00CB7448" w:rsidRPr="00680DB4">
        <w:rPr>
          <w:b/>
          <w:sz w:val="28"/>
          <w:szCs w:val="28"/>
        </w:rPr>
        <w:t xml:space="preserve">. Espérance de vie </w:t>
      </w:r>
      <w:r w:rsidR="00F210B2" w:rsidRPr="00680DB4">
        <w:rPr>
          <w:b/>
          <w:sz w:val="28"/>
          <w:szCs w:val="28"/>
        </w:rPr>
        <w:br/>
      </w:r>
      <w:r w:rsidR="00055608" w:rsidRPr="00680DB4">
        <w:br/>
      </w:r>
      <w:r w:rsidR="00E268A2">
        <w:rPr>
          <w:noProof/>
          <w:lang w:eastAsia="fr-BE"/>
        </w:rPr>
        <w:lastRenderedPageBreak/>
        <w:drawing>
          <wp:inline distT="0" distB="0" distL="0" distR="0" wp14:anchorId="0917026C" wp14:editId="5BBBD92E">
            <wp:extent cx="3527124" cy="27051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2641" cy="2709331"/>
                    </a:xfrm>
                    <a:prstGeom prst="rect">
                      <a:avLst/>
                    </a:prstGeom>
                    <a:noFill/>
                    <a:ln>
                      <a:noFill/>
                    </a:ln>
                  </pic:spPr>
                </pic:pic>
              </a:graphicData>
            </a:graphic>
          </wp:inline>
        </w:drawing>
      </w:r>
      <w:r w:rsidR="00055608" w:rsidRPr="00680DB4">
        <w:br/>
      </w:r>
      <w:r w:rsidR="00E55CEB" w:rsidRPr="00680DB4">
        <w:t>Corrélation = -0.75</w:t>
      </w:r>
      <w:r w:rsidR="00055608" w:rsidRPr="00680DB4">
        <w:br/>
      </w:r>
      <w:r w:rsidR="00055608" w:rsidRPr="00680DB4">
        <w:br/>
      </w:r>
      <w:r w:rsidRPr="00680DB4">
        <w:t>Les populations à faible QI montrent généralement une espérance de vie plus faible. Il a été démontré que cela est fortement génétique (</w:t>
      </w:r>
      <w:proofErr w:type="spellStart"/>
      <w:r w:rsidRPr="00680DB4">
        <w:t>Kingma</w:t>
      </w:r>
      <w:proofErr w:type="spellEnd"/>
      <w:r w:rsidRPr="00680DB4">
        <w:t xml:space="preserve"> et al. 2012) car les allèles pour une espérance de vie plus élevée sont pléiotropes des allèles pour une intelligence plus élevée.</w:t>
      </w:r>
    </w:p>
    <w:p w14:paraId="3DB1F731" w14:textId="77777777" w:rsidR="00680DB4" w:rsidRPr="00680DB4" w:rsidRDefault="00680DB4" w:rsidP="00680DB4">
      <w:r w:rsidRPr="00680DB4">
        <w:t>Il existe une corrélation inverse entre la longueur des télomères à un âge spécifique et le QI, les personnes à QI élevé ont tendance à avoir une longueur de télomères plus longue et un âge biologique inférieur à un âge chronologique spécifique.</w:t>
      </w:r>
    </w:p>
    <w:p w14:paraId="20A0A473" w14:textId="40E59729" w:rsidR="00E55CEB" w:rsidRPr="00CD4082" w:rsidRDefault="00680DB4" w:rsidP="00680DB4">
      <w:pPr>
        <w:rPr>
          <w:rFonts w:eastAsia="Times New Roman" w:cs="Calibri"/>
          <w:b/>
          <w:color w:val="000000"/>
          <w:sz w:val="28"/>
          <w:szCs w:val="28"/>
          <w:lang w:eastAsia="fr-BE"/>
        </w:rPr>
      </w:pPr>
      <w:r w:rsidRPr="00680DB4">
        <w:t>Une faible intelligence est un facteur de risque de vieillissement prématuré, tandis qu'un Q.I plus élevé est lié à des processus de vieillissement plus lents. Même lorsque vous comparez les strates supérieures de QI, plus le Q.I est élevé, plus le processus de vieillissement biologique est lent, plus l'espérance de vie est élevée.</w:t>
      </w:r>
      <w:r w:rsidR="00E55CEB" w:rsidRPr="00680DB4">
        <w:br/>
      </w:r>
    </w:p>
    <w:p w14:paraId="568EC860" w14:textId="4DD1A3EC" w:rsidR="00850896" w:rsidRPr="00CD4082" w:rsidRDefault="00850896" w:rsidP="00E55CEB">
      <w:pPr>
        <w:rPr>
          <w:b/>
          <w:sz w:val="28"/>
          <w:szCs w:val="28"/>
        </w:rPr>
      </w:pPr>
    </w:p>
    <w:p w14:paraId="3EAA0216" w14:textId="77777777" w:rsidR="00850896" w:rsidRPr="00CD4082" w:rsidRDefault="00850896" w:rsidP="005E36D6"/>
    <w:p w14:paraId="1B1EEAEC" w14:textId="77777777" w:rsidR="00850896" w:rsidRPr="00CD4082" w:rsidRDefault="00850896" w:rsidP="005E36D6"/>
    <w:p w14:paraId="4C4EDE5A" w14:textId="41EDC4AE" w:rsidR="00273FBE" w:rsidRDefault="00055608" w:rsidP="00E55CEB">
      <w:r w:rsidRPr="00CD4082">
        <w:br/>
      </w:r>
      <w:r w:rsidRPr="00CD4082">
        <w:br/>
      </w:r>
      <w:r w:rsidRPr="00CD4082">
        <w:br/>
      </w:r>
      <w:r w:rsidRPr="00CD4082">
        <w:br/>
      </w:r>
      <w:r w:rsidR="00F210B2" w:rsidRPr="00CD4082">
        <w:br/>
      </w:r>
    </w:p>
    <w:p w14:paraId="6978D465" w14:textId="35F952FF" w:rsidR="00680DB4" w:rsidRPr="00680DB4" w:rsidRDefault="00A91670" w:rsidP="00680DB4">
      <w:r>
        <w:rPr>
          <w:b/>
          <w:sz w:val="32"/>
          <w:szCs w:val="32"/>
        </w:rPr>
        <w:t>6</w:t>
      </w:r>
      <w:r w:rsidR="002D07A1" w:rsidRPr="002D07A1">
        <w:rPr>
          <w:b/>
          <w:sz w:val="32"/>
          <w:szCs w:val="32"/>
        </w:rPr>
        <w:t xml:space="preserve">. Religion </w:t>
      </w:r>
      <w:r w:rsidR="002D07A1">
        <w:rPr>
          <w:b/>
          <w:sz w:val="32"/>
          <w:szCs w:val="32"/>
        </w:rPr>
        <w:br/>
      </w:r>
      <w:r w:rsidR="002D07A1" w:rsidRPr="002D07A1">
        <w:t>La population nord-africaine de Belgique est nettement plus croyante</w:t>
      </w:r>
      <w:r w:rsidR="002D07A1">
        <w:t xml:space="preserve"> et pratiquante</w:t>
      </w:r>
      <w:r w:rsidR="002D07A1" w:rsidRPr="002D07A1">
        <w:t xml:space="preserve"> que la population européenne</w:t>
      </w:r>
      <w:r w:rsidR="002D07A1">
        <w:t>.</w:t>
      </w:r>
      <w:r w:rsidR="002D07A1">
        <w:br/>
        <w:t>Un bruxellois sur cinq (20%) se dit musulman pratiquant et 4</w:t>
      </w:r>
      <w:r>
        <w:t xml:space="preserve">% </w:t>
      </w:r>
      <w:r w:rsidR="002D07A1">
        <w:t xml:space="preserve">sont </w:t>
      </w:r>
      <w:r w:rsidR="007664C4">
        <w:t>« musulmans non-pratiquant ».</w:t>
      </w:r>
      <w:r w:rsidR="002D07A1">
        <w:t xml:space="preserve"> </w:t>
      </w:r>
      <w:r w:rsidR="004254BA">
        <w:br/>
      </w:r>
      <w:r w:rsidR="002D07A1">
        <w:lastRenderedPageBreak/>
        <w:t>Comme Bruxelles compte à peu près 25% d</w:t>
      </w:r>
      <w:r w:rsidR="004254BA">
        <w:t>’arabo-</w:t>
      </w:r>
      <w:r w:rsidR="002D07A1">
        <w:t xml:space="preserve">musulmans, </w:t>
      </w:r>
      <w:r w:rsidR="004254BA">
        <w:t>cela</w:t>
      </w:r>
      <w:r w:rsidR="002D07A1">
        <w:t xml:space="preserve"> donne une fréquence d’à peu près un nord-africain sur 20 non-croyant (5%), à comparer à 25 - 30% de non-croyants dans la population européenne.  </w:t>
      </w:r>
      <w:r w:rsidR="002D07A1">
        <w:rPr>
          <w:b/>
          <w:sz w:val="32"/>
          <w:szCs w:val="32"/>
        </w:rPr>
        <w:br/>
      </w:r>
      <w:r w:rsidR="004254BA">
        <w:t xml:space="preserve">Cette différence est </w:t>
      </w:r>
      <w:r w:rsidR="004254BA" w:rsidRPr="002D07A1">
        <w:t>une conséquence du lien négatif entre intelligence et inclination religieuse.</w:t>
      </w:r>
      <w:r w:rsidR="004254BA">
        <w:rPr>
          <w:b/>
          <w:sz w:val="32"/>
          <w:szCs w:val="32"/>
        </w:rPr>
        <w:t xml:space="preserve"> </w:t>
      </w:r>
      <w:r w:rsidR="004254BA" w:rsidRPr="002D07A1">
        <w:t>Nyborg a analysé ce lien et montré que la corrélat</w:t>
      </w:r>
      <w:r w:rsidR="004254BA">
        <w:t xml:space="preserve">ion </w:t>
      </w:r>
      <w:r w:rsidR="004254BA" w:rsidRPr="002D07A1">
        <w:t>entre bas Q.I et intégrisme</w:t>
      </w:r>
      <w:r>
        <w:t xml:space="preserve"> et dogmatisme</w:t>
      </w:r>
      <w:r w:rsidR="004254BA">
        <w:t xml:space="preserve"> était particulièrement négative</w:t>
      </w:r>
      <w:r w:rsidR="004254BA" w:rsidRPr="002D07A1">
        <w:t xml:space="preserve">. </w:t>
      </w:r>
    </w:p>
    <w:p w14:paraId="2047A87F" w14:textId="51588422" w:rsidR="00680DB4" w:rsidRPr="00680DB4" w:rsidRDefault="00A91670" w:rsidP="00680DB4">
      <w:r>
        <w:rPr>
          <w:b/>
          <w:sz w:val="32"/>
          <w:szCs w:val="32"/>
        </w:rPr>
        <w:t>7</w:t>
      </w:r>
      <w:r w:rsidR="00680DB4" w:rsidRPr="00680DB4">
        <w:rPr>
          <w:b/>
          <w:sz w:val="32"/>
          <w:szCs w:val="32"/>
        </w:rPr>
        <w:t xml:space="preserve">. BMI </w:t>
      </w:r>
      <w:r w:rsidR="00680DB4" w:rsidRPr="00680DB4">
        <w:rPr>
          <w:b/>
          <w:sz w:val="32"/>
          <w:szCs w:val="32"/>
        </w:rPr>
        <w:br/>
      </w:r>
      <w:r w:rsidR="00680DB4" w:rsidRPr="00680DB4">
        <w:t xml:space="preserve">C'est une tendance générale que les personnes à faible QI </w:t>
      </w:r>
      <w:r w:rsidR="00680DB4">
        <w:t>ont en moyenne un</w:t>
      </w:r>
      <w:r w:rsidR="00680DB4" w:rsidRPr="00680DB4">
        <w:t xml:space="preserve"> IMC plus élevé. La raison peut être multiple :</w:t>
      </w:r>
    </w:p>
    <w:p w14:paraId="7817E687" w14:textId="77777777" w:rsidR="00680DB4" w:rsidRPr="00680DB4" w:rsidRDefault="00680DB4" w:rsidP="00680DB4">
      <w:r w:rsidRPr="00680DB4">
        <w:t>-Les personnes ayant un QI plus élevé ont un métabolisme basal plus élevé.</w:t>
      </w:r>
    </w:p>
    <w:p w14:paraId="47F3B371" w14:textId="6BECF12B" w:rsidR="00680DB4" w:rsidRPr="00680DB4" w:rsidRDefault="00680DB4" w:rsidP="00680DB4">
      <w:r w:rsidRPr="00680DB4">
        <w:t xml:space="preserve">-Un QI </w:t>
      </w:r>
      <w:r>
        <w:t>supérieur</w:t>
      </w:r>
      <w:r w:rsidRPr="00680DB4">
        <w:t xml:space="preserve"> est lié à une capacité de « délai de gratification ». La gestion du poids implique une préférence temporelle plus faible, pour éventuellement se concentrer sur les bénéfices à long terme pour la santé afin d'éviter une consommation élevée de graisses/de sucres qui produisent un plaisir immédiat mais sont délétères à long terme.</w:t>
      </w:r>
    </w:p>
    <w:p w14:paraId="6B37CD31" w14:textId="77777777" w:rsidR="00680DB4" w:rsidRPr="00680DB4" w:rsidRDefault="00680DB4" w:rsidP="00680DB4">
      <w:r w:rsidRPr="00680DB4">
        <w:t>-Les gens intelligents sont plus éduqués, d'un point de vue nutritionnel aussi.</w:t>
      </w:r>
    </w:p>
    <w:p w14:paraId="465736FA" w14:textId="3890B1D5" w:rsidR="00680DB4" w:rsidRPr="00680DB4" w:rsidRDefault="00680DB4" w:rsidP="00680DB4">
      <w:r w:rsidRPr="00680DB4">
        <w:t xml:space="preserve">-En ce qui concerne les variations interraciales, ce sont aussi des variations génétiques </w:t>
      </w:r>
      <w:r>
        <w:t xml:space="preserve">dans le stockage des graisses. </w:t>
      </w:r>
    </w:p>
    <w:p w14:paraId="5B790D6B" w14:textId="25E212DC" w:rsidR="00680DB4" w:rsidRPr="00680DB4" w:rsidRDefault="00680DB4" w:rsidP="00680DB4">
      <w:r w:rsidRPr="00680DB4">
        <w:t>Les Nord-Africains en Belgique ont généralement un IMC plus élevé. Le schéma est le même aux Pays-Bas et en France.</w:t>
      </w:r>
    </w:p>
    <w:p w14:paraId="4E049CD5" w14:textId="6D48A529" w:rsidR="00680DB4" w:rsidRPr="00BF564F" w:rsidRDefault="002F15AF" w:rsidP="00680DB4">
      <w:pPr>
        <w:rPr>
          <w:rFonts w:ascii="Arial" w:hAnsi="Arial" w:cs="Arial"/>
        </w:rPr>
      </w:pPr>
      <w:r w:rsidRPr="00BF564F">
        <w:rPr>
          <w:rFonts w:ascii="Arial" w:hAnsi="Arial" w:cs="Arial"/>
        </w:rPr>
        <w:t>BMI moyen en début de grossesse,</w:t>
      </w:r>
      <w:r w:rsidR="00680DB4" w:rsidRPr="00BF564F">
        <w:rPr>
          <w:rFonts w:ascii="Arial" w:hAnsi="Arial" w:cs="Arial"/>
        </w:rPr>
        <w:t xml:space="preserve"> </w:t>
      </w:r>
      <w:proofErr w:type="spellStart"/>
      <w:r w:rsidR="00680DB4" w:rsidRPr="00BF564F">
        <w:rPr>
          <w:rFonts w:ascii="Arial" w:hAnsi="Arial" w:cs="Arial"/>
        </w:rPr>
        <w:t>Belgium</w:t>
      </w:r>
      <w:proofErr w:type="spellEnd"/>
      <w:r w:rsidR="00680DB4" w:rsidRPr="00BF564F">
        <w:rPr>
          <w:rFonts w:ascii="Arial" w:hAnsi="Arial" w:cs="Arial"/>
        </w:rPr>
        <w:t>.</w:t>
      </w:r>
    </w:p>
    <w:tbl>
      <w:tblPr>
        <w:tblStyle w:val="Tableausimple2"/>
        <w:tblW w:w="0" w:type="auto"/>
        <w:tblLook w:val="04A0" w:firstRow="1" w:lastRow="0" w:firstColumn="1" w:lastColumn="0" w:noHBand="0" w:noVBand="1"/>
      </w:tblPr>
      <w:tblGrid>
        <w:gridCol w:w="1531"/>
        <w:gridCol w:w="1583"/>
        <w:gridCol w:w="1352"/>
        <w:gridCol w:w="1487"/>
        <w:gridCol w:w="1340"/>
        <w:gridCol w:w="1779"/>
      </w:tblGrid>
      <w:tr w:rsidR="00680DB4" w:rsidRPr="00BF564F" w14:paraId="134C1F0E" w14:textId="77777777" w:rsidTr="001B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220184DA" w14:textId="77777777" w:rsidR="00680DB4" w:rsidRPr="001B1D51" w:rsidRDefault="00680DB4" w:rsidP="003C5F14">
            <w:pPr>
              <w:rPr>
                <w:rFonts w:ascii="Arial" w:hAnsi="Arial" w:cs="Arial"/>
                <w:b w:val="0"/>
                <w:bCs w:val="0"/>
              </w:rPr>
            </w:pPr>
          </w:p>
        </w:tc>
        <w:tc>
          <w:tcPr>
            <w:tcW w:w="1619" w:type="dxa"/>
          </w:tcPr>
          <w:p w14:paraId="2F526122"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Native Belgians</w:t>
            </w:r>
          </w:p>
        </w:tc>
        <w:tc>
          <w:tcPr>
            <w:tcW w:w="1395" w:type="dxa"/>
          </w:tcPr>
          <w:p w14:paraId="06652933"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Turks</w:t>
            </w:r>
          </w:p>
        </w:tc>
        <w:tc>
          <w:tcPr>
            <w:tcW w:w="1496" w:type="dxa"/>
          </w:tcPr>
          <w:p w14:paraId="71EA46D1"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Moroccans</w:t>
            </w:r>
          </w:p>
        </w:tc>
        <w:tc>
          <w:tcPr>
            <w:tcW w:w="1376" w:type="dxa"/>
          </w:tcPr>
          <w:p w14:paraId="43ABB018"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P value</w:t>
            </w:r>
          </w:p>
        </w:tc>
        <w:tc>
          <w:tcPr>
            <w:tcW w:w="1809" w:type="dxa"/>
          </w:tcPr>
          <w:p w14:paraId="2C8F5F6A"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References</w:t>
            </w:r>
          </w:p>
        </w:tc>
      </w:tr>
      <w:tr w:rsidR="00680DB4" w:rsidRPr="00BF564F" w14:paraId="04D9B501" w14:textId="77777777" w:rsidTr="001B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6A5022BE" w14:textId="77777777" w:rsidR="00680DB4" w:rsidRPr="001B1D51" w:rsidRDefault="00680DB4" w:rsidP="003C5F14">
            <w:pPr>
              <w:rPr>
                <w:rFonts w:ascii="Arial" w:hAnsi="Arial" w:cs="Arial"/>
                <w:b w:val="0"/>
                <w:bCs w:val="0"/>
                <w:lang w:val="en-US"/>
              </w:rPr>
            </w:pPr>
            <w:r w:rsidRPr="001B1D51">
              <w:rPr>
                <w:rFonts w:ascii="Arial" w:hAnsi="Arial" w:cs="Arial"/>
                <w:lang w:val="en-US"/>
              </w:rPr>
              <w:t>Mean BMI</w:t>
            </w:r>
          </w:p>
        </w:tc>
        <w:tc>
          <w:tcPr>
            <w:tcW w:w="1619" w:type="dxa"/>
          </w:tcPr>
          <w:p w14:paraId="1F51B7E1"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22.81</w:t>
            </w:r>
          </w:p>
        </w:tc>
        <w:tc>
          <w:tcPr>
            <w:tcW w:w="1395" w:type="dxa"/>
          </w:tcPr>
          <w:p w14:paraId="1D07F8F3"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25,82</w:t>
            </w:r>
          </w:p>
        </w:tc>
        <w:tc>
          <w:tcPr>
            <w:tcW w:w="1496" w:type="dxa"/>
          </w:tcPr>
          <w:p w14:paraId="55E63D52"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25,2</w:t>
            </w:r>
          </w:p>
        </w:tc>
        <w:tc>
          <w:tcPr>
            <w:tcW w:w="1376" w:type="dxa"/>
          </w:tcPr>
          <w:p w14:paraId="7CCB51B8"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&lt;0.001</w:t>
            </w:r>
          </w:p>
        </w:tc>
        <w:tc>
          <w:tcPr>
            <w:tcW w:w="1809" w:type="dxa"/>
          </w:tcPr>
          <w:p w14:paraId="1F0B055E"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1B1D51">
              <w:rPr>
                <w:rFonts w:ascii="Arial" w:hAnsi="Arial" w:cs="Arial"/>
                <w:lang w:val="en-US"/>
              </w:rPr>
              <w:t>Jacquemyn</w:t>
            </w:r>
            <w:proofErr w:type="spellEnd"/>
            <w:r w:rsidRPr="001B1D51">
              <w:rPr>
                <w:rFonts w:ascii="Arial" w:hAnsi="Arial" w:cs="Arial"/>
                <w:lang w:val="en-US"/>
              </w:rPr>
              <w:t xml:space="preserve"> et al. 2000</w:t>
            </w:r>
          </w:p>
        </w:tc>
      </w:tr>
    </w:tbl>
    <w:p w14:paraId="2F019047" w14:textId="48781000" w:rsidR="00680DB4" w:rsidRPr="00BF564F" w:rsidRDefault="00680DB4" w:rsidP="00680DB4">
      <w:pPr>
        <w:rPr>
          <w:rFonts w:ascii="Arial" w:hAnsi="Arial" w:cs="Arial"/>
          <w:lang w:val="en-US"/>
        </w:rPr>
      </w:pPr>
      <w:r w:rsidRPr="00BF564F">
        <w:rPr>
          <w:rFonts w:ascii="Arial" w:hAnsi="Arial" w:cs="Arial"/>
          <w:lang w:val="en-US"/>
        </w:rPr>
        <w:br/>
      </w:r>
      <w:proofErr w:type="spellStart"/>
      <w:r w:rsidR="00685724">
        <w:rPr>
          <w:rFonts w:ascii="Arial" w:hAnsi="Arial" w:cs="Arial"/>
          <w:lang w:val="en-US"/>
        </w:rPr>
        <w:t>Prévalence</w:t>
      </w:r>
      <w:proofErr w:type="spellEnd"/>
      <w:r w:rsidR="00685724">
        <w:rPr>
          <w:rFonts w:ascii="Arial" w:hAnsi="Arial" w:cs="Arial"/>
          <w:lang w:val="en-US"/>
        </w:rPr>
        <w:t xml:space="preserve"> </w:t>
      </w:r>
      <w:proofErr w:type="spellStart"/>
      <w:r w:rsidR="00685724">
        <w:rPr>
          <w:rFonts w:ascii="Arial" w:hAnsi="Arial" w:cs="Arial"/>
          <w:lang w:val="en-US"/>
        </w:rPr>
        <w:t>d’obésité</w:t>
      </w:r>
      <w:proofErr w:type="spellEnd"/>
      <w:r w:rsidR="00685724">
        <w:rPr>
          <w:rFonts w:ascii="Arial" w:hAnsi="Arial" w:cs="Arial"/>
          <w:lang w:val="en-US"/>
        </w:rPr>
        <w:t xml:space="preserve"> </w:t>
      </w:r>
      <w:proofErr w:type="spellStart"/>
      <w:r w:rsidR="00685724">
        <w:rPr>
          <w:rFonts w:ascii="Arial" w:hAnsi="Arial" w:cs="Arial"/>
          <w:lang w:val="en-US"/>
        </w:rPr>
        <w:t>en</w:t>
      </w:r>
      <w:proofErr w:type="spellEnd"/>
      <w:r w:rsidR="00685724">
        <w:rPr>
          <w:rFonts w:ascii="Arial" w:hAnsi="Arial" w:cs="Arial"/>
          <w:lang w:val="en-US"/>
        </w:rPr>
        <w:t xml:space="preserve"> Hollande</w:t>
      </w:r>
      <w:r w:rsidRPr="00BF564F">
        <w:rPr>
          <w:rFonts w:ascii="Arial" w:hAnsi="Arial" w:cs="Arial"/>
          <w:lang w:val="en-US"/>
        </w:rPr>
        <w:t xml:space="preserve"> </w:t>
      </w:r>
    </w:p>
    <w:tbl>
      <w:tblPr>
        <w:tblStyle w:val="Tableausimple2"/>
        <w:tblW w:w="0" w:type="auto"/>
        <w:tblLook w:val="04A0" w:firstRow="1" w:lastRow="0" w:firstColumn="1" w:lastColumn="0" w:noHBand="0" w:noVBand="1"/>
      </w:tblPr>
      <w:tblGrid>
        <w:gridCol w:w="1453"/>
        <w:gridCol w:w="1250"/>
        <w:gridCol w:w="1204"/>
        <w:gridCol w:w="1763"/>
        <w:gridCol w:w="1131"/>
        <w:gridCol w:w="2271"/>
      </w:tblGrid>
      <w:tr w:rsidR="001B1D51" w:rsidRPr="001B1D51" w14:paraId="36BADBC2" w14:textId="77777777" w:rsidTr="001B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6A08AE03" w14:textId="77777777" w:rsidR="00680DB4" w:rsidRPr="001B1D51" w:rsidRDefault="00680DB4" w:rsidP="003C5F14">
            <w:pPr>
              <w:rPr>
                <w:rFonts w:ascii="Arial" w:hAnsi="Arial" w:cs="Arial"/>
                <w:b w:val="0"/>
                <w:bCs w:val="0"/>
                <w:lang w:val="en-US"/>
              </w:rPr>
            </w:pPr>
          </w:p>
        </w:tc>
        <w:tc>
          <w:tcPr>
            <w:tcW w:w="1298" w:type="dxa"/>
          </w:tcPr>
          <w:p w14:paraId="6A088819"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Dutch</w:t>
            </w:r>
          </w:p>
        </w:tc>
        <w:tc>
          <w:tcPr>
            <w:tcW w:w="1249" w:type="dxa"/>
          </w:tcPr>
          <w:p w14:paraId="645A0D35"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Turks</w:t>
            </w:r>
          </w:p>
        </w:tc>
        <w:tc>
          <w:tcPr>
            <w:tcW w:w="1809" w:type="dxa"/>
          </w:tcPr>
          <w:p w14:paraId="6DB99A32"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proofErr w:type="spellStart"/>
            <w:r w:rsidRPr="001B1D51">
              <w:rPr>
                <w:rFonts w:ascii="Arial" w:hAnsi="Arial" w:cs="Arial"/>
                <w:lang w:val="en-US"/>
              </w:rPr>
              <w:t>Maroccans</w:t>
            </w:r>
            <w:proofErr w:type="spellEnd"/>
          </w:p>
        </w:tc>
        <w:tc>
          <w:tcPr>
            <w:tcW w:w="1158" w:type="dxa"/>
          </w:tcPr>
          <w:p w14:paraId="045D583E"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P value</w:t>
            </w:r>
          </w:p>
        </w:tc>
        <w:tc>
          <w:tcPr>
            <w:tcW w:w="2270" w:type="dxa"/>
          </w:tcPr>
          <w:p w14:paraId="0C0F018B"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References</w:t>
            </w:r>
          </w:p>
        </w:tc>
      </w:tr>
      <w:tr w:rsidR="001B1D51" w:rsidRPr="001B1D51" w14:paraId="38FB0090" w14:textId="77777777" w:rsidTr="001B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98D6609" w14:textId="77777777" w:rsidR="00680DB4" w:rsidRPr="001B1D51" w:rsidRDefault="00680DB4" w:rsidP="003C5F14">
            <w:pPr>
              <w:rPr>
                <w:rFonts w:ascii="Arial" w:hAnsi="Arial" w:cs="Arial"/>
                <w:b w:val="0"/>
                <w:bCs w:val="0"/>
                <w:lang w:val="en-US"/>
              </w:rPr>
            </w:pPr>
            <w:r w:rsidRPr="001B1D51">
              <w:rPr>
                <w:rFonts w:ascii="Arial" w:hAnsi="Arial" w:cs="Arial"/>
                <w:lang w:val="en-US"/>
              </w:rPr>
              <w:t xml:space="preserve">Men </w:t>
            </w:r>
          </w:p>
        </w:tc>
        <w:tc>
          <w:tcPr>
            <w:tcW w:w="1298" w:type="dxa"/>
          </w:tcPr>
          <w:p w14:paraId="009048D5"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12.6</w:t>
            </w:r>
          </w:p>
        </w:tc>
        <w:tc>
          <w:tcPr>
            <w:tcW w:w="1249" w:type="dxa"/>
          </w:tcPr>
          <w:p w14:paraId="3A46B386"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26.4</w:t>
            </w:r>
          </w:p>
        </w:tc>
        <w:tc>
          <w:tcPr>
            <w:tcW w:w="1809" w:type="dxa"/>
          </w:tcPr>
          <w:p w14:paraId="4561F299"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20.7</w:t>
            </w:r>
          </w:p>
        </w:tc>
        <w:tc>
          <w:tcPr>
            <w:tcW w:w="1158" w:type="dxa"/>
          </w:tcPr>
          <w:p w14:paraId="59A4B17F"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1B1D51">
              <w:rPr>
                <w:rFonts w:ascii="Arial" w:hAnsi="Arial" w:cs="Arial"/>
                <w:lang w:val="en"/>
              </w:rPr>
              <w:t>0.003</w:t>
            </w:r>
          </w:p>
        </w:tc>
        <w:tc>
          <w:tcPr>
            <w:tcW w:w="2270" w:type="dxa"/>
          </w:tcPr>
          <w:p w14:paraId="1E3A2DC7"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1B1D51">
              <w:rPr>
                <w:rFonts w:ascii="Arial" w:hAnsi="Arial" w:cs="Arial"/>
                <w:lang w:val="en"/>
              </w:rPr>
              <w:t>Henriëtte</w:t>
            </w:r>
            <w:proofErr w:type="spellEnd"/>
            <w:r w:rsidRPr="001B1D51">
              <w:rPr>
                <w:rFonts w:ascii="Arial" w:hAnsi="Arial" w:cs="Arial"/>
                <w:lang w:val="en"/>
              </w:rPr>
              <w:t> </w:t>
            </w:r>
            <w:proofErr w:type="spellStart"/>
            <w:r w:rsidRPr="001B1D51">
              <w:rPr>
                <w:rFonts w:ascii="Arial" w:hAnsi="Arial" w:cs="Arial"/>
                <w:lang w:val="en"/>
              </w:rPr>
              <w:t>Dijkshoorn</w:t>
            </w:r>
            <w:proofErr w:type="spellEnd"/>
            <w:r w:rsidRPr="001B1D51">
              <w:rPr>
                <w:rFonts w:ascii="Arial" w:hAnsi="Arial" w:cs="Arial"/>
                <w:lang w:val="en"/>
              </w:rPr>
              <w:t>, 2010</w:t>
            </w:r>
          </w:p>
        </w:tc>
      </w:tr>
      <w:tr w:rsidR="001B1D51" w:rsidRPr="001B1D51" w14:paraId="1D63C2C2" w14:textId="77777777" w:rsidTr="001B1D51">
        <w:tc>
          <w:tcPr>
            <w:cnfStyle w:val="001000000000" w:firstRow="0" w:lastRow="0" w:firstColumn="1" w:lastColumn="0" w:oddVBand="0" w:evenVBand="0" w:oddHBand="0" w:evenHBand="0" w:firstRowFirstColumn="0" w:firstRowLastColumn="0" w:lastRowFirstColumn="0" w:lastRowLastColumn="0"/>
            <w:tcW w:w="1504" w:type="dxa"/>
          </w:tcPr>
          <w:p w14:paraId="105162EA" w14:textId="77777777" w:rsidR="00680DB4" w:rsidRPr="001B1D51" w:rsidRDefault="00680DB4" w:rsidP="003C5F14">
            <w:pPr>
              <w:rPr>
                <w:rFonts w:ascii="Arial" w:hAnsi="Arial" w:cs="Arial"/>
                <w:b w:val="0"/>
                <w:bCs w:val="0"/>
                <w:lang w:val="en-US"/>
              </w:rPr>
            </w:pPr>
            <w:r w:rsidRPr="001B1D51">
              <w:rPr>
                <w:rFonts w:ascii="Arial" w:hAnsi="Arial" w:cs="Arial"/>
                <w:lang w:val="en-US"/>
              </w:rPr>
              <w:t>Women</w:t>
            </w:r>
          </w:p>
        </w:tc>
        <w:tc>
          <w:tcPr>
            <w:tcW w:w="1298" w:type="dxa"/>
          </w:tcPr>
          <w:p w14:paraId="1D4C733E" w14:textId="77777777" w:rsidR="00680DB4" w:rsidRPr="001B1D51" w:rsidRDefault="00680DB4" w:rsidP="003C5F1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1B1D51">
              <w:rPr>
                <w:rFonts w:ascii="Arial" w:hAnsi="Arial" w:cs="Arial"/>
                <w:lang w:val="en-US"/>
              </w:rPr>
              <w:t>19.8</w:t>
            </w:r>
          </w:p>
        </w:tc>
        <w:tc>
          <w:tcPr>
            <w:tcW w:w="1249" w:type="dxa"/>
          </w:tcPr>
          <w:p w14:paraId="18EDC8E6" w14:textId="77777777" w:rsidR="00680DB4" w:rsidRPr="001B1D51" w:rsidRDefault="00680DB4" w:rsidP="003C5F1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1B1D51">
              <w:rPr>
                <w:rFonts w:ascii="Arial" w:hAnsi="Arial" w:cs="Arial"/>
                <w:lang w:val="en-US"/>
              </w:rPr>
              <w:t>49.8</w:t>
            </w:r>
          </w:p>
        </w:tc>
        <w:tc>
          <w:tcPr>
            <w:tcW w:w="1809" w:type="dxa"/>
          </w:tcPr>
          <w:p w14:paraId="7540DBF2" w14:textId="77777777" w:rsidR="00680DB4" w:rsidRPr="001B1D51" w:rsidRDefault="00680DB4" w:rsidP="003C5F1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1B1D51">
              <w:rPr>
                <w:rFonts w:ascii="Arial" w:hAnsi="Arial" w:cs="Arial"/>
                <w:lang w:val="en-US"/>
              </w:rPr>
              <w:t>47.5</w:t>
            </w:r>
          </w:p>
        </w:tc>
        <w:tc>
          <w:tcPr>
            <w:tcW w:w="1158" w:type="dxa"/>
          </w:tcPr>
          <w:p w14:paraId="5442BC30" w14:textId="77777777" w:rsidR="00680DB4" w:rsidRPr="001B1D51" w:rsidRDefault="00680DB4" w:rsidP="003C5F14">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1B1D51">
              <w:rPr>
                <w:rFonts w:ascii="Arial" w:hAnsi="Arial" w:cs="Arial"/>
                <w:lang w:val="en"/>
              </w:rPr>
              <w:t>&lt;0.001</w:t>
            </w:r>
          </w:p>
        </w:tc>
        <w:tc>
          <w:tcPr>
            <w:tcW w:w="2270" w:type="dxa"/>
          </w:tcPr>
          <w:p w14:paraId="1F3A5F39" w14:textId="77777777" w:rsidR="00680DB4" w:rsidRPr="001B1D51" w:rsidRDefault="00680DB4" w:rsidP="003C5F1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1B1D51">
              <w:rPr>
                <w:rFonts w:ascii="Arial" w:hAnsi="Arial" w:cs="Arial"/>
                <w:lang w:val="en"/>
              </w:rPr>
              <w:t>Henriëtte</w:t>
            </w:r>
            <w:proofErr w:type="spellEnd"/>
            <w:r w:rsidRPr="001B1D51">
              <w:rPr>
                <w:rFonts w:ascii="Arial" w:hAnsi="Arial" w:cs="Arial"/>
                <w:lang w:val="en"/>
              </w:rPr>
              <w:t> </w:t>
            </w:r>
            <w:proofErr w:type="spellStart"/>
            <w:r w:rsidRPr="001B1D51">
              <w:rPr>
                <w:rFonts w:ascii="Arial" w:hAnsi="Arial" w:cs="Arial"/>
                <w:lang w:val="en"/>
              </w:rPr>
              <w:t>Dijkshoorn</w:t>
            </w:r>
            <w:proofErr w:type="spellEnd"/>
            <w:r w:rsidRPr="001B1D51">
              <w:rPr>
                <w:rFonts w:ascii="Arial" w:hAnsi="Arial" w:cs="Arial"/>
                <w:lang w:val="en"/>
              </w:rPr>
              <w:t>, 2010</w:t>
            </w:r>
          </w:p>
        </w:tc>
      </w:tr>
    </w:tbl>
    <w:p w14:paraId="17335708" w14:textId="68CE8B70" w:rsidR="00680DB4" w:rsidRPr="00685724" w:rsidRDefault="00680DB4" w:rsidP="00680DB4">
      <w:pPr>
        <w:rPr>
          <w:rFonts w:ascii="Arial" w:hAnsi="Arial" w:cs="Arial"/>
        </w:rPr>
      </w:pPr>
      <w:r w:rsidRPr="00685724">
        <w:rPr>
          <w:color w:val="333333"/>
          <w:sz w:val="28"/>
          <w:szCs w:val="28"/>
        </w:rPr>
        <w:br/>
      </w:r>
      <w:r w:rsidRPr="00685724">
        <w:rPr>
          <w:color w:val="333333"/>
          <w:sz w:val="28"/>
          <w:szCs w:val="28"/>
        </w:rPr>
        <w:br/>
      </w:r>
      <w:r w:rsidR="00685724" w:rsidRPr="00685724">
        <w:rPr>
          <w:rFonts w:ascii="Arial" w:hAnsi="Arial" w:cs="Arial"/>
        </w:rPr>
        <w:t>BMI moyen d’Européenne</w:t>
      </w:r>
      <w:r w:rsidR="008B4661">
        <w:rPr>
          <w:rFonts w:ascii="Arial" w:hAnsi="Arial" w:cs="Arial"/>
        </w:rPr>
        <w:t>s</w:t>
      </w:r>
      <w:r w:rsidR="00685724" w:rsidRPr="00685724">
        <w:rPr>
          <w:rFonts w:ascii="Arial" w:hAnsi="Arial" w:cs="Arial"/>
        </w:rPr>
        <w:t xml:space="preserve"> native</w:t>
      </w:r>
      <w:r w:rsidR="008B4661">
        <w:rPr>
          <w:rFonts w:ascii="Arial" w:hAnsi="Arial" w:cs="Arial"/>
        </w:rPr>
        <w:t>s</w:t>
      </w:r>
      <w:r w:rsidR="00685724" w:rsidRPr="00685724">
        <w:rPr>
          <w:rFonts w:ascii="Arial" w:hAnsi="Arial" w:cs="Arial"/>
        </w:rPr>
        <w:t xml:space="preserve"> e</w:t>
      </w:r>
      <w:r w:rsidR="00685724">
        <w:rPr>
          <w:rFonts w:ascii="Arial" w:hAnsi="Arial" w:cs="Arial"/>
        </w:rPr>
        <w:t>t de</w:t>
      </w:r>
      <w:r w:rsidR="008B4661">
        <w:rPr>
          <w:rFonts w:ascii="Arial" w:hAnsi="Arial" w:cs="Arial"/>
        </w:rPr>
        <w:t xml:space="preserve"> Nord Africaines, parmi les jeunes mères, France.</w:t>
      </w:r>
    </w:p>
    <w:tbl>
      <w:tblPr>
        <w:tblStyle w:val="Tableausimple2"/>
        <w:tblW w:w="9464" w:type="dxa"/>
        <w:tblLook w:val="04A0" w:firstRow="1" w:lastRow="0" w:firstColumn="1" w:lastColumn="0" w:noHBand="0" w:noVBand="1"/>
      </w:tblPr>
      <w:tblGrid>
        <w:gridCol w:w="1832"/>
        <w:gridCol w:w="1869"/>
        <w:gridCol w:w="1794"/>
        <w:gridCol w:w="1709"/>
        <w:gridCol w:w="2260"/>
      </w:tblGrid>
      <w:tr w:rsidR="001B1D51" w:rsidRPr="001B1D51" w14:paraId="52889685" w14:textId="77777777" w:rsidTr="001B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14:paraId="279E9D7B" w14:textId="77777777" w:rsidR="00680DB4" w:rsidRPr="00685724" w:rsidRDefault="00680DB4" w:rsidP="003C5F14">
            <w:pPr>
              <w:rPr>
                <w:rFonts w:ascii="Arial" w:hAnsi="Arial" w:cs="Arial"/>
                <w:b w:val="0"/>
                <w:bCs w:val="0"/>
              </w:rPr>
            </w:pPr>
          </w:p>
        </w:tc>
        <w:tc>
          <w:tcPr>
            <w:tcW w:w="1869" w:type="dxa"/>
          </w:tcPr>
          <w:p w14:paraId="0B0C4DC8"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Native French</w:t>
            </w:r>
          </w:p>
        </w:tc>
        <w:tc>
          <w:tcPr>
            <w:tcW w:w="1794" w:type="dxa"/>
          </w:tcPr>
          <w:p w14:paraId="721099D1"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North-Africans</w:t>
            </w:r>
          </w:p>
        </w:tc>
        <w:tc>
          <w:tcPr>
            <w:tcW w:w="1709" w:type="dxa"/>
          </w:tcPr>
          <w:p w14:paraId="01E9CE8E"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P value</w:t>
            </w:r>
          </w:p>
        </w:tc>
        <w:tc>
          <w:tcPr>
            <w:tcW w:w="2260" w:type="dxa"/>
          </w:tcPr>
          <w:p w14:paraId="01A5D928" w14:textId="77777777" w:rsidR="00680DB4" w:rsidRPr="001B1D51" w:rsidRDefault="00680DB4" w:rsidP="003C5F14">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1B1D51">
              <w:rPr>
                <w:rFonts w:ascii="Arial" w:hAnsi="Arial" w:cs="Arial"/>
                <w:lang w:val="en-US"/>
              </w:rPr>
              <w:t>References</w:t>
            </w:r>
          </w:p>
        </w:tc>
      </w:tr>
      <w:tr w:rsidR="001B1D51" w:rsidRPr="001B1D51" w14:paraId="61682FBF" w14:textId="77777777" w:rsidTr="001B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14:paraId="5D0345A0" w14:textId="77777777" w:rsidR="00680DB4" w:rsidRPr="001B1D51" w:rsidRDefault="00680DB4" w:rsidP="003C5F14">
            <w:pPr>
              <w:rPr>
                <w:rFonts w:ascii="Arial" w:hAnsi="Arial" w:cs="Arial"/>
                <w:b w:val="0"/>
                <w:bCs w:val="0"/>
                <w:lang w:val="en-US"/>
              </w:rPr>
            </w:pPr>
            <w:r w:rsidRPr="001B1D51">
              <w:rPr>
                <w:rFonts w:ascii="Arial" w:hAnsi="Arial" w:cs="Arial"/>
                <w:lang w:val="en-US"/>
              </w:rPr>
              <w:t>Mean BMI</w:t>
            </w:r>
          </w:p>
        </w:tc>
        <w:tc>
          <w:tcPr>
            <w:tcW w:w="1869" w:type="dxa"/>
          </w:tcPr>
          <w:p w14:paraId="6192E5A3"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20.5</w:t>
            </w:r>
          </w:p>
        </w:tc>
        <w:tc>
          <w:tcPr>
            <w:tcW w:w="1794" w:type="dxa"/>
          </w:tcPr>
          <w:p w14:paraId="5B80883D"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22.1</w:t>
            </w:r>
          </w:p>
        </w:tc>
        <w:tc>
          <w:tcPr>
            <w:tcW w:w="1709" w:type="dxa"/>
          </w:tcPr>
          <w:p w14:paraId="6CF766D2"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B1D51">
              <w:rPr>
                <w:rFonts w:ascii="Arial" w:hAnsi="Arial" w:cs="Arial"/>
                <w:lang w:val="en-US"/>
              </w:rPr>
              <w:t>&lt;0.01</w:t>
            </w:r>
          </w:p>
        </w:tc>
        <w:tc>
          <w:tcPr>
            <w:tcW w:w="2260" w:type="dxa"/>
          </w:tcPr>
          <w:p w14:paraId="6A307E3F" w14:textId="77777777" w:rsidR="00680DB4" w:rsidRPr="001B1D51" w:rsidRDefault="00680DB4" w:rsidP="003C5F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B1D51">
              <w:rPr>
                <w:rFonts w:ascii="Arial" w:hAnsi="Arial" w:cs="Arial"/>
              </w:rPr>
              <w:t xml:space="preserve">Anne-Marie </w:t>
            </w:r>
            <w:proofErr w:type="spellStart"/>
            <w:r w:rsidRPr="001B1D51">
              <w:rPr>
                <w:rFonts w:ascii="Arial" w:hAnsi="Arial" w:cs="Arial"/>
              </w:rPr>
              <w:t>Guihard</w:t>
            </w:r>
            <w:proofErr w:type="spellEnd"/>
            <w:r w:rsidRPr="001B1D51">
              <w:rPr>
                <w:rFonts w:ascii="Arial" w:hAnsi="Arial" w:cs="Arial"/>
              </w:rPr>
              <w:t>-Costa et al. 2004.</w:t>
            </w:r>
          </w:p>
        </w:tc>
      </w:tr>
    </w:tbl>
    <w:p w14:paraId="5883B0E7" w14:textId="28761391" w:rsidR="00680DB4" w:rsidRPr="00CD4082" w:rsidRDefault="00680DB4" w:rsidP="00680DB4">
      <w:r w:rsidRPr="001720EB">
        <w:rPr>
          <w:rFonts w:ascii="Arial" w:hAnsi="Arial" w:cs="Arial"/>
          <w:lang w:val="en-US"/>
        </w:rPr>
        <w:br/>
      </w:r>
      <w:r w:rsidRPr="001720EB">
        <w:rPr>
          <w:lang w:val="en-US"/>
        </w:rPr>
        <w:br/>
      </w:r>
      <w:r w:rsidRPr="001D1B51">
        <w:rPr>
          <w:b/>
          <w:sz w:val="32"/>
          <w:szCs w:val="32"/>
          <w:lang w:val="en-US"/>
        </w:rPr>
        <w:lastRenderedPageBreak/>
        <w:t>1</w:t>
      </w:r>
      <w:r w:rsidR="002F15AF">
        <w:rPr>
          <w:b/>
          <w:sz w:val="32"/>
          <w:szCs w:val="32"/>
          <w:lang w:val="en-US"/>
        </w:rPr>
        <w:t>0</w:t>
      </w:r>
      <w:r w:rsidRPr="001D1B51">
        <w:rPr>
          <w:b/>
          <w:sz w:val="32"/>
          <w:szCs w:val="32"/>
          <w:lang w:val="en-US"/>
        </w:rPr>
        <w:t xml:space="preserve">. </w:t>
      </w:r>
      <w:r w:rsidR="002F15AF">
        <w:rPr>
          <w:b/>
          <w:sz w:val="32"/>
          <w:szCs w:val="32"/>
          <w:lang w:val="en-US"/>
        </w:rPr>
        <w:t xml:space="preserve">Prix des </w:t>
      </w:r>
      <w:proofErr w:type="spellStart"/>
      <w:r w:rsidR="002F15AF">
        <w:rPr>
          <w:b/>
          <w:sz w:val="32"/>
          <w:szCs w:val="32"/>
          <w:lang w:val="en-US"/>
        </w:rPr>
        <w:t>maisons</w:t>
      </w:r>
      <w:proofErr w:type="spellEnd"/>
      <w:r>
        <w:rPr>
          <w:lang w:val="en-US"/>
        </w:rPr>
        <w:br/>
      </w:r>
      <w:r>
        <w:rPr>
          <w:lang w:val="en-US"/>
        </w:rPr>
        <w:br/>
        <w:t>Median house prize (euros) as a function of the North-African population (%).</w:t>
      </w:r>
      <w:r>
        <w:rPr>
          <w:lang w:val="en-US"/>
        </w:rPr>
        <w:br/>
      </w:r>
      <w:r w:rsidRPr="00DC48B2">
        <w:rPr>
          <w:noProof/>
          <w:lang w:eastAsia="fr-BE"/>
        </w:rPr>
        <w:drawing>
          <wp:inline distT="0" distB="0" distL="0" distR="0" wp14:anchorId="6A90B29B" wp14:editId="4A883111">
            <wp:extent cx="3333750" cy="2247900"/>
            <wp:effectExtent l="0" t="0" r="0" b="0"/>
            <wp:docPr id="24" name="Graphique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lang w:val="en-US"/>
        </w:rPr>
        <w:br/>
      </w:r>
      <w:r w:rsidR="00BF564F" w:rsidRPr="00CD4082">
        <w:t>Corrélation de -0.67.</w:t>
      </w:r>
    </w:p>
    <w:p w14:paraId="228E5E46" w14:textId="2F1670F2" w:rsidR="00680DB4" w:rsidRPr="001B1D51" w:rsidRDefault="002F15AF" w:rsidP="002F15AF">
      <w:pPr>
        <w:shd w:val="clear" w:color="auto" w:fill="FFFFFF"/>
        <w:spacing w:before="100" w:beforeAutospacing="1" w:after="24" w:line="336" w:lineRule="atLeast"/>
        <w:rPr>
          <w:rFonts w:eastAsia="Times New Roman"/>
          <w:bCs/>
          <w:sz w:val="28"/>
          <w:szCs w:val="28"/>
          <w:lang w:eastAsia="fr-BE"/>
        </w:rPr>
      </w:pPr>
      <w:r w:rsidRPr="00BF564F">
        <w:rPr>
          <w:bCs/>
        </w:rPr>
        <w:t xml:space="preserve">La conséquence d'une population croissante avec un faible QI et par conséquent une faible éducation, de faibles revenus et des taux de criminalité plus élevés est une fuite de l’élite cognitive européenne en périphérie, transformant progressivement ces zones restantes en lieux ghettoïsés et le prix moyen de l'immobilier évolue en conséquence. </w:t>
      </w:r>
      <w:r w:rsidR="001B1D51">
        <w:rPr>
          <w:rFonts w:eastAsia="Times New Roman"/>
          <w:bCs/>
          <w:sz w:val="28"/>
          <w:szCs w:val="28"/>
          <w:lang w:eastAsia="fr-BE"/>
        </w:rPr>
        <w:br/>
      </w:r>
    </w:p>
    <w:p w14:paraId="4AC36870" w14:textId="6FB1BC9A" w:rsidR="00680DB4" w:rsidRPr="002F15AF" w:rsidRDefault="00680DB4" w:rsidP="00BF564F">
      <w:pPr>
        <w:shd w:val="clear" w:color="auto" w:fill="FFFFFF"/>
        <w:spacing w:before="100" w:beforeAutospacing="1" w:after="24" w:line="336" w:lineRule="atLeast"/>
        <w:rPr>
          <w:rFonts w:eastAsia="Times New Roman"/>
          <w:b/>
          <w:sz w:val="28"/>
          <w:szCs w:val="28"/>
          <w:lang w:eastAsia="fr-BE"/>
        </w:rPr>
      </w:pPr>
      <w:r w:rsidRPr="002F15AF">
        <w:rPr>
          <w:rFonts w:eastAsia="Times New Roman"/>
          <w:b/>
          <w:sz w:val="28"/>
          <w:szCs w:val="28"/>
          <w:lang w:eastAsia="fr-BE"/>
        </w:rPr>
        <w:t>1</w:t>
      </w:r>
      <w:r w:rsidR="002F15AF">
        <w:rPr>
          <w:rFonts w:eastAsia="Times New Roman"/>
          <w:b/>
          <w:sz w:val="28"/>
          <w:szCs w:val="28"/>
          <w:lang w:eastAsia="fr-BE"/>
        </w:rPr>
        <w:t>1</w:t>
      </w:r>
      <w:r w:rsidRPr="002F15AF">
        <w:rPr>
          <w:rFonts w:eastAsia="Times New Roman"/>
          <w:b/>
          <w:sz w:val="28"/>
          <w:szCs w:val="28"/>
          <w:lang w:eastAsia="fr-BE"/>
        </w:rPr>
        <w:t xml:space="preserve">: </w:t>
      </w:r>
      <w:r w:rsidR="002F15AF" w:rsidRPr="002F15AF">
        <w:rPr>
          <w:rFonts w:eastAsia="Times New Roman"/>
          <w:b/>
          <w:sz w:val="28"/>
          <w:szCs w:val="28"/>
          <w:lang w:eastAsia="fr-BE"/>
        </w:rPr>
        <w:t>Comportements sociau</w:t>
      </w:r>
      <w:r w:rsidR="002F15AF">
        <w:rPr>
          <w:rFonts w:eastAsia="Times New Roman"/>
          <w:b/>
          <w:sz w:val="28"/>
          <w:szCs w:val="28"/>
          <w:lang w:eastAsia="fr-BE"/>
        </w:rPr>
        <w:t xml:space="preserve">x </w:t>
      </w:r>
    </w:p>
    <w:p w14:paraId="458A75B1" w14:textId="35C34FDE" w:rsidR="00680DB4" w:rsidRPr="00BF564F" w:rsidRDefault="00680DB4" w:rsidP="00BF564F">
      <w:pPr>
        <w:shd w:val="clear" w:color="auto" w:fill="FFFFFF"/>
        <w:spacing w:before="100" w:beforeAutospacing="1" w:after="24" w:line="336" w:lineRule="atLeast"/>
        <w:rPr>
          <w:rFonts w:eastAsia="Times New Roman"/>
          <w:b/>
          <w:lang w:eastAsia="fr-BE"/>
        </w:rPr>
      </w:pPr>
      <w:r w:rsidRPr="00BF564F">
        <w:rPr>
          <w:rFonts w:eastAsia="Times New Roman"/>
          <w:b/>
          <w:lang w:eastAsia="fr-BE"/>
        </w:rPr>
        <w:t>1</w:t>
      </w:r>
      <w:r w:rsidR="00BF564F" w:rsidRPr="00BF564F">
        <w:rPr>
          <w:rFonts w:eastAsia="Times New Roman"/>
          <w:b/>
          <w:lang w:eastAsia="fr-BE"/>
        </w:rPr>
        <w:t>1</w:t>
      </w:r>
      <w:r w:rsidRPr="00BF564F">
        <w:rPr>
          <w:rFonts w:eastAsia="Times New Roman"/>
          <w:b/>
          <w:lang w:eastAsia="fr-BE"/>
        </w:rPr>
        <w:t xml:space="preserve">.1 </w:t>
      </w:r>
      <w:r w:rsidR="002F15AF" w:rsidRPr="00BF564F">
        <w:rPr>
          <w:rFonts w:eastAsia="Times New Roman"/>
          <w:b/>
          <w:lang w:eastAsia="fr-BE"/>
        </w:rPr>
        <w:t>Comportement anti-sociaux</w:t>
      </w:r>
      <w:r w:rsidRPr="00BF564F">
        <w:rPr>
          <w:rFonts w:eastAsia="Times New Roman"/>
          <w:b/>
          <w:lang w:eastAsia="fr-BE"/>
        </w:rPr>
        <w:br/>
      </w:r>
      <w:r w:rsidRPr="00BF564F">
        <w:rPr>
          <w:rFonts w:eastAsia="Times New Roman"/>
          <w:b/>
          <w:lang w:eastAsia="fr-BE"/>
        </w:rPr>
        <w:br/>
        <w:t xml:space="preserve"> </w:t>
      </w:r>
      <w:r w:rsidR="002F15AF" w:rsidRPr="00BF564F">
        <w:rPr>
          <w:rFonts w:eastAsia="Times New Roman"/>
          <w:b/>
          <w:lang w:eastAsia="fr-BE"/>
        </w:rPr>
        <w:t>Déclarations frauduleuses</w:t>
      </w:r>
      <w:r w:rsidRPr="00BF564F">
        <w:rPr>
          <w:rFonts w:eastAsia="Times New Roman"/>
          <w:b/>
          <w:lang w:eastAsia="fr-BE"/>
        </w:rPr>
        <w:t xml:space="preserve"> </w:t>
      </w:r>
    </w:p>
    <w:p w14:paraId="6BD1DB71" w14:textId="77777777" w:rsidR="00680DB4" w:rsidRPr="00BF564F" w:rsidRDefault="00680DB4" w:rsidP="001B1D51">
      <w:pPr>
        <w:shd w:val="clear" w:color="auto" w:fill="FFFFFF"/>
        <w:spacing w:before="100" w:beforeAutospacing="1" w:after="24" w:line="336" w:lineRule="atLeast"/>
        <w:rPr>
          <w:rFonts w:eastAsia="Times New Roman"/>
          <w:lang w:val="en-US" w:eastAsia="fr-BE"/>
        </w:rPr>
      </w:pPr>
      <w:r w:rsidRPr="00BF564F">
        <w:rPr>
          <w:rFonts w:eastAsia="Times New Roman"/>
          <w:lang w:val="en-US" w:eastAsia="fr-BE"/>
        </w:rPr>
        <w:t>Insurance fraudulent declarations rate (%) as a function of the North-African population (%)</w:t>
      </w:r>
    </w:p>
    <w:p w14:paraId="2F34B1B6" w14:textId="47D6085F" w:rsidR="00680DB4" w:rsidRPr="001B1D51" w:rsidRDefault="007E425E" w:rsidP="00BF564F">
      <w:pPr>
        <w:shd w:val="clear" w:color="auto" w:fill="FFFFFF"/>
        <w:spacing w:before="100" w:beforeAutospacing="1" w:after="24" w:line="336" w:lineRule="atLeast"/>
        <w:rPr>
          <w:rFonts w:eastAsia="Times New Roman"/>
          <w:sz w:val="28"/>
          <w:szCs w:val="28"/>
          <w:lang w:val="en-US" w:eastAsia="fr-BE"/>
        </w:rPr>
      </w:pPr>
      <w:r>
        <w:rPr>
          <w:noProof/>
          <w:sz w:val="28"/>
          <w:szCs w:val="28"/>
          <w:lang w:eastAsia="fr-BE"/>
        </w:rPr>
        <w:drawing>
          <wp:inline distT="0" distB="0" distL="0" distR="0" wp14:anchorId="3EB9CB43" wp14:editId="78B7A9B2">
            <wp:extent cx="2809875" cy="164716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4993" cy="1650167"/>
                    </a:xfrm>
                    <a:prstGeom prst="rect">
                      <a:avLst/>
                    </a:prstGeom>
                    <a:noFill/>
                    <a:ln>
                      <a:noFill/>
                    </a:ln>
                  </pic:spPr>
                </pic:pic>
              </a:graphicData>
            </a:graphic>
          </wp:inline>
        </w:drawing>
      </w:r>
      <w:r w:rsidR="001B1D51">
        <w:rPr>
          <w:rFonts w:eastAsia="Times New Roman"/>
          <w:sz w:val="28"/>
          <w:szCs w:val="28"/>
          <w:lang w:val="en-US" w:eastAsia="fr-BE"/>
        </w:rPr>
        <w:br/>
      </w:r>
      <w:proofErr w:type="spellStart"/>
      <w:r w:rsidR="00680DB4" w:rsidRPr="00CD4082">
        <w:rPr>
          <w:rFonts w:eastAsia="Times New Roman"/>
          <w:lang w:eastAsia="fr-BE"/>
        </w:rPr>
        <w:t>Correlation</w:t>
      </w:r>
      <w:proofErr w:type="spellEnd"/>
      <w:r w:rsidR="00680DB4" w:rsidRPr="00CD4082">
        <w:rPr>
          <w:rFonts w:eastAsia="Times New Roman"/>
          <w:lang w:eastAsia="fr-BE"/>
        </w:rPr>
        <w:t xml:space="preserve"> +0,9899</w:t>
      </w:r>
      <w:r w:rsidR="00FB620A" w:rsidRPr="00CD4082">
        <w:rPr>
          <w:rFonts w:eastAsia="Times New Roman"/>
          <w:lang w:eastAsia="fr-BE"/>
        </w:rPr>
        <w:t xml:space="preserve">. </w:t>
      </w:r>
      <w:r w:rsidR="00680DB4" w:rsidRPr="00CD4082">
        <w:rPr>
          <w:rFonts w:eastAsia="Times New Roman"/>
          <w:lang w:eastAsia="fr-BE"/>
        </w:rPr>
        <w:t xml:space="preserve">Source: axa group. </w:t>
      </w:r>
      <w:r w:rsidR="00680DB4" w:rsidRPr="00CD4082">
        <w:rPr>
          <w:rFonts w:eastAsia="Times New Roman"/>
          <w:lang w:eastAsia="fr-BE"/>
        </w:rPr>
        <w:br/>
      </w:r>
      <w:r w:rsidR="002F15AF" w:rsidRPr="00CD4082">
        <w:rPr>
          <w:rFonts w:eastAsia="Times New Roman"/>
          <w:lang w:eastAsia="fr-BE"/>
        </w:rPr>
        <w:br/>
      </w:r>
      <w:r w:rsidR="002F15AF" w:rsidRPr="00BF564F">
        <w:rPr>
          <w:rFonts w:eastAsia="Times New Roman"/>
          <w:lang w:eastAsia="fr-BE"/>
        </w:rPr>
        <w:t>La corruption et les comportements anti-sociaux corrèle typiquement au faible QI.</w:t>
      </w:r>
      <w:r w:rsidR="00680DB4" w:rsidRPr="00BF564F">
        <w:rPr>
          <w:rFonts w:eastAsia="Times New Roman"/>
          <w:lang w:eastAsia="fr-BE"/>
        </w:rPr>
        <w:br/>
      </w:r>
      <w:r w:rsidR="002F15AF" w:rsidRPr="00BF564F">
        <w:rPr>
          <w:rFonts w:eastAsia="Times New Roman"/>
          <w:lang w:eastAsia="fr-BE"/>
        </w:rPr>
        <w:t xml:space="preserve">A noter que 45% de la population carcérale belge est musulmane (pour 8 à 9% de la population </w:t>
      </w:r>
      <w:r w:rsidR="002F15AF" w:rsidRPr="00BF564F">
        <w:rPr>
          <w:rFonts w:eastAsia="Times New Roman"/>
          <w:lang w:eastAsia="fr-BE"/>
        </w:rPr>
        <w:lastRenderedPageBreak/>
        <w:t xml:space="preserve">totale). </w:t>
      </w:r>
      <w:r w:rsidR="00FB620A">
        <w:rPr>
          <w:rFonts w:eastAsia="Times New Roman"/>
          <w:lang w:eastAsia="fr-BE"/>
        </w:rPr>
        <w:t>(</w:t>
      </w:r>
      <w:proofErr w:type="gramStart"/>
      <w:r w:rsidR="00FB620A">
        <w:rPr>
          <w:rFonts w:eastAsia="Times New Roman"/>
          <w:lang w:eastAsia="fr-BE"/>
        </w:rPr>
        <w:t>source</w:t>
      </w:r>
      <w:proofErr w:type="gramEnd"/>
      <w:r w:rsidR="00FB620A">
        <w:rPr>
          <w:rFonts w:eastAsia="Times New Roman"/>
          <w:lang w:eastAsia="fr-BE"/>
        </w:rPr>
        <w:t xml:space="preserve"> : </w:t>
      </w:r>
      <w:proofErr w:type="spellStart"/>
      <w:r w:rsidR="00FB620A">
        <w:rPr>
          <w:rFonts w:eastAsia="Times New Roman"/>
          <w:lang w:eastAsia="fr-BE"/>
        </w:rPr>
        <w:t>sudinfo</w:t>
      </w:r>
      <w:proofErr w:type="spellEnd"/>
      <w:r w:rsidR="00FB620A">
        <w:rPr>
          <w:rFonts w:eastAsia="Times New Roman"/>
          <w:lang w:eastAsia="fr-BE"/>
        </w:rPr>
        <w:t xml:space="preserve"> 2013).</w:t>
      </w:r>
      <w:r w:rsidR="00680DB4" w:rsidRPr="00BF564F">
        <w:rPr>
          <w:rFonts w:eastAsia="Times New Roman"/>
          <w:lang w:eastAsia="fr-BE"/>
        </w:rPr>
        <w:br/>
      </w:r>
    </w:p>
    <w:p w14:paraId="685837F6" w14:textId="407F8095" w:rsidR="00680DB4" w:rsidRPr="00CD4082" w:rsidRDefault="00BF564F" w:rsidP="009B4F5A">
      <w:pPr>
        <w:shd w:val="clear" w:color="auto" w:fill="FFFFFF"/>
        <w:spacing w:before="100" w:beforeAutospacing="1" w:after="24" w:line="336" w:lineRule="atLeast"/>
        <w:rPr>
          <w:rFonts w:eastAsia="Times New Roman"/>
          <w:b/>
          <w:lang w:eastAsia="fr-BE"/>
        </w:rPr>
      </w:pPr>
      <w:r w:rsidRPr="00BF564F">
        <w:rPr>
          <w:rFonts w:eastAsia="Times New Roman"/>
          <w:b/>
          <w:lang w:eastAsia="fr-BE"/>
        </w:rPr>
        <w:t>Emprunteurs avec au moins un crédit non régularisé en fonction des populations maghrébines (%)</w:t>
      </w:r>
      <w:r>
        <w:rPr>
          <w:rFonts w:eastAsia="Times New Roman"/>
          <w:b/>
          <w:lang w:eastAsia="fr-BE"/>
        </w:rPr>
        <w:br/>
      </w:r>
      <w:r w:rsidR="00680DB4" w:rsidRPr="00BF564F">
        <w:rPr>
          <w:rFonts w:eastAsia="Times New Roman"/>
          <w:b/>
          <w:sz w:val="28"/>
          <w:szCs w:val="28"/>
          <w:lang w:eastAsia="fr-BE"/>
        </w:rPr>
        <w:br/>
      </w:r>
      <w:r w:rsidR="00FE0804">
        <w:rPr>
          <w:b/>
          <w:noProof/>
          <w:lang w:eastAsia="fr-BE"/>
        </w:rPr>
        <w:drawing>
          <wp:inline distT="0" distB="0" distL="0" distR="0" wp14:anchorId="55A4C184" wp14:editId="2CA0B9C6">
            <wp:extent cx="3019425" cy="194310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r w:rsidR="008B4661">
        <w:rPr>
          <w:rFonts w:eastAsia="Times New Roman"/>
          <w:b/>
          <w:lang w:eastAsia="fr-BE"/>
        </w:rPr>
        <w:br/>
      </w:r>
      <w:proofErr w:type="spellStart"/>
      <w:r w:rsidR="00680DB4" w:rsidRPr="008B4661">
        <w:rPr>
          <w:rFonts w:eastAsia="Times New Roman"/>
          <w:bCs/>
          <w:lang w:eastAsia="fr-BE"/>
        </w:rPr>
        <w:t>Correlation</w:t>
      </w:r>
      <w:proofErr w:type="spellEnd"/>
      <w:r w:rsidR="00680DB4" w:rsidRPr="008B4661">
        <w:rPr>
          <w:rFonts w:eastAsia="Times New Roman"/>
          <w:bCs/>
          <w:lang w:eastAsia="fr-BE"/>
        </w:rPr>
        <w:t xml:space="preserve"> + 0.84</w:t>
      </w:r>
      <w:r w:rsidR="00DB72F9">
        <w:rPr>
          <w:rFonts w:eastAsia="Times New Roman"/>
          <w:b/>
          <w:lang w:eastAsia="fr-BE"/>
        </w:rPr>
        <w:br/>
      </w:r>
      <w:r w:rsidR="001B1D51">
        <w:rPr>
          <w:rFonts w:eastAsia="Times New Roman"/>
          <w:b/>
          <w:lang w:eastAsia="fr-BE"/>
        </w:rPr>
        <w:br/>
      </w:r>
      <w:r w:rsidR="00DB72F9" w:rsidRPr="008B4661">
        <w:rPr>
          <w:rFonts w:cstheme="minorHAnsi"/>
          <w:b/>
          <w:lang w:eastAsia="fr-BE"/>
        </w:rPr>
        <w:t>Fréquence de double vaccinés COVID, second trimestre 2021, en fonction de la proportion de Nord-Africains (X)</w:t>
      </w:r>
      <w:r w:rsidR="00DB72F9" w:rsidRPr="008B4661">
        <w:rPr>
          <w:b/>
          <w:noProof/>
          <w:lang w:eastAsia="fr-BE"/>
        </w:rPr>
        <w:br/>
      </w:r>
      <w:r w:rsidR="00DB72F9">
        <w:rPr>
          <w:b/>
          <w:noProof/>
          <w:lang w:eastAsia="fr-BE"/>
        </w:rPr>
        <w:drawing>
          <wp:inline distT="0" distB="0" distL="0" distR="0" wp14:anchorId="7EFFD929" wp14:editId="383AEF3C">
            <wp:extent cx="3114675" cy="17145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1714500"/>
                    </a:xfrm>
                    <a:prstGeom prst="rect">
                      <a:avLst/>
                    </a:prstGeom>
                    <a:noFill/>
                    <a:ln>
                      <a:noFill/>
                    </a:ln>
                  </pic:spPr>
                </pic:pic>
              </a:graphicData>
            </a:graphic>
          </wp:inline>
        </w:drawing>
      </w:r>
      <w:r w:rsidR="00DB72F9" w:rsidRPr="00BF564F">
        <w:rPr>
          <w:b/>
          <w:lang w:eastAsia="fr-BE"/>
        </w:rPr>
        <w:br/>
      </w:r>
      <w:r w:rsidR="00DB72F9" w:rsidRPr="00962693">
        <w:rPr>
          <w:rFonts w:cstheme="minorHAnsi"/>
          <w:bCs/>
          <w:sz w:val="20"/>
          <w:szCs w:val="20"/>
          <w:lang w:eastAsia="fr-BE"/>
        </w:rPr>
        <w:t>Corrélation de -0.93</w:t>
      </w:r>
      <w:r w:rsidR="00DB72F9">
        <w:rPr>
          <w:rFonts w:cstheme="minorHAnsi"/>
          <w:bCs/>
          <w:sz w:val="20"/>
          <w:szCs w:val="20"/>
          <w:lang w:eastAsia="fr-BE"/>
        </w:rPr>
        <w:t>.</w:t>
      </w:r>
      <w:r w:rsidR="001B1D51">
        <w:rPr>
          <w:rFonts w:cstheme="minorHAnsi"/>
          <w:bCs/>
          <w:sz w:val="20"/>
          <w:szCs w:val="20"/>
          <w:lang w:eastAsia="fr-BE"/>
        </w:rPr>
        <w:br/>
      </w:r>
      <w:r w:rsidR="001B1D51">
        <w:rPr>
          <w:rFonts w:cstheme="minorHAnsi"/>
          <w:bCs/>
          <w:sz w:val="20"/>
          <w:szCs w:val="20"/>
          <w:lang w:eastAsia="fr-BE"/>
        </w:rPr>
        <w:br/>
      </w:r>
      <w:r w:rsidR="001B1D51" w:rsidRPr="009B4F5A">
        <w:rPr>
          <w:rFonts w:cstheme="minorHAnsi"/>
          <w:bCs/>
          <w:lang w:eastAsia="fr-BE"/>
        </w:rPr>
        <w:t xml:space="preserve">De nombreuses études ont montré que la réticence </w:t>
      </w:r>
      <w:r w:rsidR="009B4F5A">
        <w:rPr>
          <w:rFonts w:cstheme="minorHAnsi"/>
          <w:bCs/>
          <w:lang w:eastAsia="fr-BE"/>
        </w:rPr>
        <w:t xml:space="preserve">à la vaccination contre le COVID </w:t>
      </w:r>
      <w:r w:rsidR="009B4F5A" w:rsidRPr="009B4F5A">
        <w:rPr>
          <w:rFonts w:cstheme="minorHAnsi"/>
          <w:bCs/>
          <w:lang w:eastAsia="fr-BE"/>
        </w:rPr>
        <w:t>corrélait</w:t>
      </w:r>
      <w:r w:rsidR="001B1D51" w:rsidRPr="009B4F5A">
        <w:rPr>
          <w:rFonts w:cstheme="minorHAnsi"/>
          <w:bCs/>
          <w:lang w:eastAsia="fr-BE"/>
        </w:rPr>
        <w:t xml:space="preserve"> à un plus faible QI et </w:t>
      </w:r>
      <w:r w:rsidR="009B4F5A" w:rsidRPr="009B4F5A">
        <w:rPr>
          <w:rFonts w:cstheme="minorHAnsi"/>
          <w:bCs/>
          <w:lang w:eastAsia="fr-BE"/>
        </w:rPr>
        <w:t xml:space="preserve">à une plus haute tendance psychopathique et antisociale. Ceci se retrouve partout à travers le monde. En Amérique les Afro-Américains sont nettement moins vaccinés tandis que les Est-Asiatiques sont les plus vaccinés. En Israël la minorité </w:t>
      </w:r>
      <w:r w:rsidR="009B4F5A">
        <w:rPr>
          <w:rFonts w:cstheme="minorHAnsi"/>
          <w:bCs/>
          <w:lang w:eastAsia="fr-BE"/>
        </w:rPr>
        <w:t>A</w:t>
      </w:r>
      <w:r w:rsidR="009B4F5A" w:rsidRPr="009B4F5A">
        <w:rPr>
          <w:rFonts w:cstheme="minorHAnsi"/>
          <w:bCs/>
          <w:lang w:eastAsia="fr-BE"/>
        </w:rPr>
        <w:t>rabe est la moins vaccinée.</w:t>
      </w:r>
      <w:r w:rsidR="009B4F5A">
        <w:rPr>
          <w:rFonts w:cstheme="minorHAnsi"/>
          <w:bCs/>
          <w:sz w:val="20"/>
          <w:szCs w:val="20"/>
          <w:lang w:eastAsia="fr-BE"/>
        </w:rPr>
        <w:t xml:space="preserve"> </w:t>
      </w:r>
    </w:p>
    <w:p w14:paraId="1B67C863" w14:textId="4E743A8F" w:rsidR="00680DB4" w:rsidRPr="00BF564F" w:rsidRDefault="00680DB4" w:rsidP="009B4F5A">
      <w:pPr>
        <w:shd w:val="clear" w:color="auto" w:fill="FFFFFF"/>
        <w:spacing w:before="100" w:beforeAutospacing="1" w:after="24" w:line="336" w:lineRule="atLeast"/>
        <w:rPr>
          <w:rFonts w:eastAsia="Times New Roman"/>
          <w:b/>
          <w:sz w:val="28"/>
          <w:szCs w:val="28"/>
          <w:lang w:eastAsia="fr-BE"/>
        </w:rPr>
      </w:pPr>
      <w:r w:rsidRPr="00BF564F">
        <w:rPr>
          <w:rFonts w:eastAsia="Times New Roman"/>
          <w:b/>
          <w:lang w:eastAsia="fr-BE"/>
        </w:rPr>
        <w:t>1</w:t>
      </w:r>
      <w:r w:rsidR="00BF564F">
        <w:rPr>
          <w:rFonts w:eastAsia="Times New Roman"/>
          <w:b/>
          <w:lang w:eastAsia="fr-BE"/>
        </w:rPr>
        <w:t>1</w:t>
      </w:r>
      <w:r w:rsidRPr="00BF564F">
        <w:rPr>
          <w:rFonts w:eastAsia="Times New Roman"/>
          <w:b/>
          <w:lang w:eastAsia="fr-BE"/>
        </w:rPr>
        <w:t xml:space="preserve">.2 </w:t>
      </w:r>
      <w:r w:rsidR="00BF564F" w:rsidRPr="00BF564F">
        <w:rPr>
          <w:rFonts w:eastAsia="Times New Roman"/>
          <w:b/>
          <w:lang w:eastAsia="fr-BE"/>
        </w:rPr>
        <w:t xml:space="preserve">Comportements </w:t>
      </w:r>
      <w:proofErr w:type="spellStart"/>
      <w:r w:rsidR="00BF564F" w:rsidRPr="00BF564F">
        <w:rPr>
          <w:rFonts w:eastAsia="Times New Roman"/>
          <w:b/>
          <w:lang w:eastAsia="fr-BE"/>
        </w:rPr>
        <w:t>pro-sociaux</w:t>
      </w:r>
      <w:proofErr w:type="spellEnd"/>
      <w:r w:rsidRPr="00BF564F">
        <w:rPr>
          <w:rFonts w:eastAsia="Times New Roman"/>
          <w:b/>
          <w:lang w:eastAsia="fr-BE"/>
        </w:rPr>
        <w:br/>
      </w:r>
      <w:r w:rsidR="00BF564F" w:rsidRPr="00BF564F">
        <w:rPr>
          <w:rFonts w:eastAsia="Times New Roman"/>
          <w:b/>
          <w:lang w:eastAsia="fr-BE"/>
        </w:rPr>
        <w:t>Donneurs de sang</w:t>
      </w:r>
      <w:r w:rsidRPr="00BF564F">
        <w:rPr>
          <w:rFonts w:eastAsia="Times New Roman"/>
          <w:b/>
          <w:lang w:eastAsia="fr-BE"/>
        </w:rPr>
        <w:br/>
      </w:r>
      <w:r w:rsidRPr="00BF564F">
        <w:rPr>
          <w:rFonts w:eastAsia="Times New Roman"/>
          <w:b/>
          <w:sz w:val="28"/>
          <w:szCs w:val="28"/>
          <w:lang w:eastAsia="fr-BE"/>
        </w:rPr>
        <w:lastRenderedPageBreak/>
        <w:br/>
      </w:r>
      <w:r w:rsidR="00261206">
        <w:rPr>
          <w:rFonts w:eastAsia="Times New Roman"/>
          <w:b/>
          <w:noProof/>
          <w:sz w:val="28"/>
          <w:szCs w:val="28"/>
          <w:lang w:eastAsia="fr-BE"/>
        </w:rPr>
        <w:drawing>
          <wp:inline distT="0" distB="0" distL="0" distR="0" wp14:anchorId="2F3F1959" wp14:editId="08E1833C">
            <wp:extent cx="4486275" cy="251460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2514600"/>
                    </a:xfrm>
                    <a:prstGeom prst="rect">
                      <a:avLst/>
                    </a:prstGeom>
                    <a:noFill/>
                    <a:ln>
                      <a:noFill/>
                    </a:ln>
                  </pic:spPr>
                </pic:pic>
              </a:graphicData>
            </a:graphic>
          </wp:inline>
        </w:drawing>
      </w:r>
    </w:p>
    <w:p w14:paraId="68C6091F" w14:textId="0D549FC4" w:rsidR="00680DB4" w:rsidRPr="007C366C" w:rsidRDefault="00680DB4" w:rsidP="00BF564F">
      <w:pPr>
        <w:shd w:val="clear" w:color="auto" w:fill="FFFFFF"/>
        <w:spacing w:before="100" w:beforeAutospacing="1" w:after="24" w:line="336" w:lineRule="atLeast"/>
        <w:ind w:left="720"/>
        <w:rPr>
          <w:rFonts w:eastAsia="Times New Roman"/>
          <w:bCs/>
          <w:lang w:val="en-US" w:eastAsia="fr-BE"/>
        </w:rPr>
      </w:pPr>
      <w:r w:rsidRPr="007C366C">
        <w:rPr>
          <w:rFonts w:eastAsia="Times New Roman"/>
          <w:bCs/>
          <w:lang w:val="en-US" w:eastAsia="fr-BE"/>
        </w:rPr>
        <w:t>Correlation is -0.86</w:t>
      </w:r>
      <w:r w:rsidRPr="007C366C">
        <w:rPr>
          <w:rFonts w:eastAsia="Times New Roman"/>
          <w:bCs/>
          <w:lang w:val="en-US" w:eastAsia="fr-BE"/>
        </w:rPr>
        <w:br/>
      </w:r>
      <w:proofErr w:type="spellStart"/>
      <w:r w:rsidRPr="007C366C">
        <w:rPr>
          <w:rFonts w:eastAsia="Times New Roman"/>
          <w:bCs/>
          <w:lang w:val="en-US" w:eastAsia="fr-BE"/>
        </w:rPr>
        <w:t>Nyborg</w:t>
      </w:r>
      <w:proofErr w:type="spellEnd"/>
      <w:r w:rsidRPr="007C366C">
        <w:rPr>
          <w:rFonts w:eastAsia="Times New Roman"/>
          <w:bCs/>
          <w:lang w:val="en-US" w:eastAsia="fr-BE"/>
        </w:rPr>
        <w:t xml:space="preserve"> shown that altruistic personalities increase linearly from south to northern latitudes because these pro-social behaviors were selected by cold climates.</w:t>
      </w:r>
    </w:p>
    <w:p w14:paraId="1058DABB" w14:textId="3E6147D8" w:rsidR="00680DB4" w:rsidRPr="007C366C" w:rsidRDefault="00680DB4" w:rsidP="00261206">
      <w:pPr>
        <w:shd w:val="clear" w:color="auto" w:fill="FFFFFF"/>
        <w:spacing w:before="100" w:beforeAutospacing="1" w:after="24" w:line="336" w:lineRule="atLeast"/>
        <w:rPr>
          <w:rFonts w:eastAsia="Times New Roman"/>
          <w:b/>
          <w:sz w:val="28"/>
          <w:szCs w:val="28"/>
          <w:lang w:eastAsia="fr-BE"/>
        </w:rPr>
      </w:pPr>
      <w:r w:rsidRPr="007C366C">
        <w:rPr>
          <w:rFonts w:eastAsia="Times New Roman"/>
          <w:b/>
          <w:sz w:val="28"/>
          <w:szCs w:val="28"/>
          <w:lang w:eastAsia="fr-BE"/>
        </w:rPr>
        <w:t>1</w:t>
      </w:r>
      <w:r w:rsidR="00261206">
        <w:rPr>
          <w:rFonts w:eastAsia="Times New Roman"/>
          <w:b/>
          <w:sz w:val="28"/>
          <w:szCs w:val="28"/>
          <w:lang w:eastAsia="fr-BE"/>
        </w:rPr>
        <w:t>2</w:t>
      </w:r>
      <w:r w:rsidRPr="007C366C">
        <w:rPr>
          <w:rFonts w:eastAsia="Times New Roman"/>
          <w:b/>
          <w:sz w:val="28"/>
          <w:szCs w:val="28"/>
          <w:lang w:eastAsia="fr-BE"/>
        </w:rPr>
        <w:t>. Divorce rate</w:t>
      </w:r>
      <w:r w:rsidRPr="007C366C">
        <w:rPr>
          <w:rFonts w:eastAsia="Times New Roman"/>
          <w:b/>
          <w:sz w:val="28"/>
          <w:szCs w:val="28"/>
          <w:lang w:eastAsia="fr-BE"/>
        </w:rPr>
        <w:br/>
      </w:r>
      <w:r w:rsidRPr="007C366C">
        <w:rPr>
          <w:rFonts w:eastAsia="Times New Roman"/>
          <w:b/>
          <w:sz w:val="28"/>
          <w:szCs w:val="28"/>
          <w:lang w:eastAsia="fr-BE"/>
        </w:rPr>
        <w:br/>
      </w:r>
      <w:r w:rsidRPr="00953D1B">
        <w:rPr>
          <w:noProof/>
        </w:rPr>
        <w:drawing>
          <wp:inline distT="0" distB="0" distL="0" distR="0" wp14:anchorId="08401BE5" wp14:editId="4DA4AEB3">
            <wp:extent cx="3867150" cy="2514600"/>
            <wp:effectExtent l="0" t="0" r="0" b="0"/>
            <wp:docPr id="19" name="Graphique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C366C">
        <w:rPr>
          <w:rFonts w:eastAsia="Times New Roman"/>
          <w:b/>
          <w:sz w:val="28"/>
          <w:szCs w:val="28"/>
          <w:lang w:eastAsia="fr-BE"/>
        </w:rPr>
        <w:br/>
      </w:r>
      <w:r w:rsidRPr="007C366C">
        <w:rPr>
          <w:rFonts w:eastAsia="Times New Roman"/>
          <w:b/>
          <w:sz w:val="28"/>
          <w:szCs w:val="28"/>
          <w:lang w:eastAsia="fr-BE"/>
        </w:rPr>
        <w:br/>
      </w:r>
      <w:r w:rsidR="007C366C" w:rsidRPr="007C366C">
        <w:rPr>
          <w:rFonts w:eastAsia="Times New Roman"/>
          <w:bCs/>
          <w:lang w:eastAsia="fr-BE"/>
        </w:rPr>
        <w:t>Les populations à plus hauts QI ont une plus haute stabilité maritale.</w:t>
      </w:r>
      <w:r w:rsidR="007C366C">
        <w:rPr>
          <w:rFonts w:eastAsia="Times New Roman"/>
          <w:b/>
          <w:sz w:val="28"/>
          <w:szCs w:val="28"/>
          <w:lang w:eastAsia="fr-BE"/>
        </w:rPr>
        <w:t xml:space="preserve"> </w:t>
      </w:r>
    </w:p>
    <w:p w14:paraId="01B0EF5D" w14:textId="286F9AE4" w:rsidR="00680DB4" w:rsidRPr="002F15AF" w:rsidRDefault="00680DB4" w:rsidP="00261206">
      <w:pPr>
        <w:shd w:val="clear" w:color="auto" w:fill="FFFFFF"/>
        <w:spacing w:before="100" w:beforeAutospacing="1" w:after="24" w:line="336" w:lineRule="atLeast"/>
        <w:rPr>
          <w:rFonts w:eastAsia="Times New Roman"/>
          <w:b/>
          <w:sz w:val="28"/>
          <w:szCs w:val="28"/>
          <w:lang w:eastAsia="fr-BE"/>
        </w:rPr>
      </w:pPr>
      <w:r w:rsidRPr="002F15AF">
        <w:rPr>
          <w:rFonts w:eastAsia="Times New Roman"/>
          <w:b/>
          <w:sz w:val="28"/>
          <w:szCs w:val="28"/>
          <w:lang w:eastAsia="fr-BE"/>
        </w:rPr>
        <w:t>1</w:t>
      </w:r>
      <w:r w:rsidR="00261206">
        <w:rPr>
          <w:rFonts w:eastAsia="Times New Roman"/>
          <w:b/>
          <w:sz w:val="28"/>
          <w:szCs w:val="28"/>
          <w:lang w:eastAsia="fr-BE"/>
        </w:rPr>
        <w:t>3</w:t>
      </w:r>
      <w:r w:rsidRPr="002F15AF">
        <w:rPr>
          <w:rFonts w:eastAsia="Times New Roman"/>
          <w:b/>
          <w:sz w:val="28"/>
          <w:szCs w:val="28"/>
          <w:lang w:eastAsia="fr-BE"/>
        </w:rPr>
        <w:t>. Car accidents</w:t>
      </w:r>
      <w:r w:rsidRPr="002F15AF">
        <w:rPr>
          <w:rFonts w:eastAsia="Times New Roman"/>
          <w:b/>
          <w:sz w:val="28"/>
          <w:szCs w:val="28"/>
          <w:lang w:eastAsia="fr-BE"/>
        </w:rPr>
        <w:br/>
      </w:r>
      <w:r w:rsidRPr="002F15AF">
        <w:rPr>
          <w:rFonts w:eastAsia="Times New Roman"/>
          <w:b/>
          <w:sz w:val="28"/>
          <w:szCs w:val="28"/>
          <w:lang w:eastAsia="fr-BE"/>
        </w:rPr>
        <w:br/>
      </w:r>
      <w:r w:rsidRPr="00953D1B">
        <w:rPr>
          <w:noProof/>
        </w:rPr>
        <w:lastRenderedPageBreak/>
        <w:drawing>
          <wp:inline distT="0" distB="0" distL="0" distR="0" wp14:anchorId="1E7AD638" wp14:editId="5C5423F5">
            <wp:extent cx="4238625" cy="2295525"/>
            <wp:effectExtent l="0" t="0" r="9525" b="9525"/>
            <wp:docPr id="18" name="Graphiqu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7C366C">
        <w:rPr>
          <w:rFonts w:eastAsia="Times New Roman"/>
          <w:b/>
          <w:sz w:val="28"/>
          <w:szCs w:val="28"/>
          <w:lang w:eastAsia="fr-BE"/>
        </w:rPr>
        <w:br/>
      </w:r>
      <w:r w:rsidR="007C366C">
        <w:rPr>
          <w:rFonts w:eastAsia="Times New Roman"/>
          <w:bCs/>
          <w:lang w:eastAsia="fr-BE"/>
        </w:rPr>
        <w:t xml:space="preserve">Corrélation de </w:t>
      </w:r>
      <w:r w:rsidRPr="007C366C">
        <w:rPr>
          <w:rFonts w:eastAsia="Times New Roman"/>
          <w:bCs/>
          <w:lang w:eastAsia="fr-BE"/>
        </w:rPr>
        <w:t>+0,45</w:t>
      </w:r>
      <w:r w:rsidR="00521C7A">
        <w:rPr>
          <w:rFonts w:eastAsia="Times New Roman"/>
          <w:bCs/>
          <w:lang w:eastAsia="fr-BE"/>
        </w:rPr>
        <w:br/>
      </w:r>
      <w:r w:rsidR="00521C7A">
        <w:rPr>
          <w:rFonts w:eastAsia="Times New Roman"/>
          <w:bCs/>
          <w:lang w:eastAsia="fr-BE"/>
        </w:rPr>
        <w:br/>
      </w:r>
      <w:r w:rsidR="00521C7A">
        <w:rPr>
          <w:rFonts w:eastAsia="Times New Roman"/>
          <w:bCs/>
          <w:lang w:eastAsia="fr-BE"/>
        </w:rPr>
        <w:br/>
      </w:r>
      <w:r w:rsidR="00FE0804" w:rsidRPr="00261206">
        <w:rPr>
          <w:rFonts w:cstheme="minorHAnsi"/>
          <w:b/>
          <w:bCs/>
          <w:sz w:val="24"/>
          <w:szCs w:val="24"/>
        </w:rPr>
        <w:t>1</w:t>
      </w:r>
      <w:r w:rsidR="00261206" w:rsidRPr="00261206">
        <w:rPr>
          <w:rFonts w:cstheme="minorHAnsi"/>
          <w:b/>
          <w:bCs/>
          <w:sz w:val="24"/>
          <w:szCs w:val="24"/>
        </w:rPr>
        <w:t>4</w:t>
      </w:r>
      <w:r w:rsidR="00FE0804" w:rsidRPr="00261206">
        <w:rPr>
          <w:rFonts w:cstheme="minorHAnsi"/>
          <w:b/>
          <w:bCs/>
          <w:sz w:val="24"/>
          <w:szCs w:val="24"/>
        </w:rPr>
        <w:t xml:space="preserve">. </w:t>
      </w:r>
      <w:r w:rsidR="00521C7A" w:rsidRPr="00261206">
        <w:rPr>
          <w:rFonts w:cstheme="minorHAnsi"/>
          <w:b/>
          <w:bCs/>
          <w:sz w:val="24"/>
          <w:szCs w:val="24"/>
        </w:rPr>
        <w:t>Orientation politique</w:t>
      </w:r>
      <w:r w:rsidR="00521C7A" w:rsidRPr="00651CB1">
        <w:rPr>
          <w:rFonts w:cstheme="minorHAnsi"/>
          <w:b/>
          <w:bCs/>
        </w:rPr>
        <w:t xml:space="preserve"> </w:t>
      </w:r>
      <w:r w:rsidR="00521C7A">
        <w:rPr>
          <w:rFonts w:cstheme="minorHAnsi"/>
          <w:b/>
          <w:bCs/>
          <w:sz w:val="28"/>
          <w:szCs w:val="28"/>
        </w:rPr>
        <w:br/>
      </w:r>
      <w:r w:rsidR="00521C7A">
        <w:rPr>
          <w:rFonts w:cstheme="minorHAnsi"/>
        </w:rPr>
        <w:br/>
      </w:r>
      <w:r w:rsidR="00521C7A">
        <w:rPr>
          <w:noProof/>
        </w:rPr>
        <w:drawing>
          <wp:inline distT="0" distB="0" distL="0" distR="0" wp14:anchorId="7D89FB2A" wp14:editId="31757691">
            <wp:extent cx="3903839" cy="2095500"/>
            <wp:effectExtent l="0" t="0" r="1905" b="0"/>
            <wp:docPr id="13" name="Image 1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able&#10;&#10;Description générée automatique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7784" cy="2097618"/>
                    </a:xfrm>
                    <a:prstGeom prst="rect">
                      <a:avLst/>
                    </a:prstGeom>
                    <a:noFill/>
                    <a:ln>
                      <a:noFill/>
                    </a:ln>
                  </pic:spPr>
                </pic:pic>
              </a:graphicData>
            </a:graphic>
          </wp:inline>
        </w:drawing>
      </w:r>
      <w:r w:rsidR="00521C7A">
        <w:rPr>
          <w:rFonts w:cstheme="minorHAnsi"/>
        </w:rPr>
        <w:br/>
      </w:r>
      <w:r w:rsidR="00521C7A" w:rsidRPr="000A62E2">
        <w:rPr>
          <w:rFonts w:cstheme="minorHAnsi"/>
        </w:rPr>
        <w:t xml:space="preserve">En Belgique francophone on trouve le PTB (parti communiste), le PS (parti socialiste), Ecolo (situé entre la gauche et l’extrême gauche comme EELV), le CDH (Centre), le MR (Centre droit, appelle à voter Macron), Défi (centre droit, sous-groupe du MR). </w:t>
      </w:r>
      <w:r w:rsidR="00521C7A" w:rsidRPr="000A62E2">
        <w:rPr>
          <w:rFonts w:cstheme="minorHAnsi"/>
        </w:rPr>
        <w:br/>
        <w:t xml:space="preserve">Il n’y a pas de parti de droite ou d’extrême droite (interdits dans les médias). </w:t>
      </w:r>
      <w:r w:rsidR="00521C7A" w:rsidRPr="000A62E2">
        <w:rPr>
          <w:rFonts w:cstheme="minorHAnsi"/>
        </w:rPr>
        <w:br/>
      </w:r>
      <w:r w:rsidR="00521C7A" w:rsidRPr="000A62E2">
        <w:rPr>
          <w:rFonts w:cstheme="minorHAnsi"/>
        </w:rPr>
        <w:br/>
        <w:t xml:space="preserve">Il est intéressant de noter que les musulmans votent à &gt;85% pour la gauche ou l’extrême gauche. </w:t>
      </w:r>
      <w:r w:rsidR="00521C7A" w:rsidRPr="000A62E2">
        <w:rPr>
          <w:rFonts w:cstheme="minorHAnsi"/>
        </w:rPr>
        <w:br/>
      </w:r>
      <w:r w:rsidR="00521C7A" w:rsidRPr="000A62E2">
        <w:rPr>
          <w:rFonts w:cstheme="minorHAnsi"/>
        </w:rPr>
        <w:br/>
        <w:t xml:space="preserve">A l’inverse, la minorité juive de Bruxelles (minorité à haut QI) </w:t>
      </w:r>
      <w:r w:rsidR="00521C7A">
        <w:rPr>
          <w:rFonts w:cstheme="minorHAnsi"/>
        </w:rPr>
        <w:t>opte</w:t>
      </w:r>
      <w:r w:rsidR="00521C7A" w:rsidRPr="000A62E2">
        <w:rPr>
          <w:rFonts w:cstheme="minorHAnsi"/>
        </w:rPr>
        <w:t xml:space="preserve"> à 66% pour le centre ou le centre droit. 0% des juifs choisissent le PS et 44% choisissent le MR. Chez les musulmans c’est l’inverse : 49% choisissent le PS et 2% le MR.</w:t>
      </w:r>
      <w:r w:rsidR="00521C7A" w:rsidRPr="000A62E2">
        <w:rPr>
          <w:rFonts w:cstheme="minorHAnsi"/>
        </w:rPr>
        <w:br/>
      </w:r>
      <w:r w:rsidR="00521C7A" w:rsidRPr="000A62E2">
        <w:rPr>
          <w:rFonts w:cstheme="minorHAnsi"/>
        </w:rPr>
        <w:br/>
        <w:t xml:space="preserve">Comme la communauté Arabo-musulmane de Bruxelles représente aujourd’hui 35 à 40% de la population et augmente chaque année, il se produit un « verrouillage » de la politique à gauche voire à l’extrême gauche. De nombreuses mesures sont menées par le PS, le PTB et Ecolo pour séduire les musulmans : permis d’abattage sans étourdissement (interdit dans les 2 autres régions du pays), plafonnement des loyers à Bruxelles, interdiction pour les propriétaires de choisir leur locataire… </w:t>
      </w:r>
      <w:r w:rsidR="00521C7A" w:rsidRPr="000A62E2">
        <w:rPr>
          <w:rFonts w:cstheme="minorHAnsi"/>
        </w:rPr>
        <w:lastRenderedPageBreak/>
        <w:t>récemment le parti « Islam » a vu le jour. Contrairement aux partis de droite</w:t>
      </w:r>
      <w:r w:rsidR="00521C7A">
        <w:rPr>
          <w:rFonts w:cstheme="minorHAnsi"/>
        </w:rPr>
        <w:t xml:space="preserve"> et d’extrême droite</w:t>
      </w:r>
      <w:r w:rsidR="00521C7A" w:rsidRPr="000A62E2">
        <w:rPr>
          <w:rFonts w:cstheme="minorHAnsi"/>
        </w:rPr>
        <w:t xml:space="preserve">, ce dernier ne fut pas interdit de médias. </w:t>
      </w:r>
      <w:r w:rsidR="00521C7A" w:rsidRPr="000A62E2">
        <w:rPr>
          <w:rFonts w:cstheme="minorHAnsi"/>
        </w:rPr>
        <w:br/>
      </w:r>
    </w:p>
    <w:p w14:paraId="1CEFC7E4" w14:textId="77777777" w:rsidR="00CF561D" w:rsidRPr="001D5F79" w:rsidRDefault="00CF561D" w:rsidP="00CF561D">
      <w:pPr>
        <w:pStyle w:val="NormalWeb"/>
        <w:shd w:val="clear" w:color="auto" w:fill="FFFFFF"/>
        <w:spacing w:before="120" w:beforeAutospacing="0" w:after="120" w:afterAutospacing="0" w:line="336" w:lineRule="atLeast"/>
        <w:rPr>
          <w:rFonts w:asciiTheme="minorHAnsi" w:hAnsiTheme="minorHAnsi"/>
          <w:b/>
          <w:sz w:val="22"/>
          <w:szCs w:val="22"/>
        </w:rPr>
      </w:pPr>
      <w:r w:rsidRPr="001D5F79">
        <w:rPr>
          <w:rFonts w:asciiTheme="minorHAnsi" w:hAnsiTheme="minorHAnsi"/>
          <w:b/>
          <w:sz w:val="22"/>
          <w:szCs w:val="22"/>
        </w:rPr>
        <w:t xml:space="preserve">Les critères de causalité de </w:t>
      </w:r>
      <w:proofErr w:type="spellStart"/>
      <w:r w:rsidRPr="001D5F79">
        <w:rPr>
          <w:rFonts w:asciiTheme="minorHAnsi" w:hAnsiTheme="minorHAnsi"/>
          <w:b/>
          <w:sz w:val="22"/>
          <w:szCs w:val="22"/>
        </w:rPr>
        <w:t>Brandford</w:t>
      </w:r>
      <w:proofErr w:type="spellEnd"/>
      <w:r w:rsidRPr="001D5F79">
        <w:rPr>
          <w:rFonts w:asciiTheme="minorHAnsi" w:hAnsiTheme="minorHAnsi"/>
          <w:b/>
          <w:sz w:val="22"/>
          <w:szCs w:val="22"/>
        </w:rPr>
        <w:t>-Hill</w:t>
      </w:r>
      <w:r w:rsidRPr="001D5F79">
        <w:rPr>
          <w:rFonts w:asciiTheme="minorHAnsi" w:hAnsiTheme="minorHAnsi"/>
          <w:b/>
          <w:sz w:val="22"/>
          <w:szCs w:val="22"/>
        </w:rPr>
        <w:br/>
      </w:r>
      <w:r w:rsidRPr="001D5F79">
        <w:rPr>
          <w:rFonts w:asciiTheme="minorHAnsi" w:hAnsiTheme="minorHAnsi"/>
          <w:b/>
          <w:sz w:val="22"/>
          <w:szCs w:val="22"/>
        </w:rPr>
        <w:br/>
      </w:r>
      <w:r w:rsidRPr="001D5F79">
        <w:rPr>
          <w:rFonts w:asciiTheme="minorHAnsi" w:hAnsiTheme="minorHAnsi"/>
          <w:sz w:val="22"/>
          <w:szCs w:val="22"/>
        </w:rPr>
        <w:t>Nous avons démontré qu’il existait une haute corrélation entre la proportion de nord-africain</w:t>
      </w:r>
      <w:r w:rsidR="00EF4F3A" w:rsidRPr="001D5F79">
        <w:rPr>
          <w:rFonts w:asciiTheme="minorHAnsi" w:hAnsiTheme="minorHAnsi"/>
          <w:sz w:val="22"/>
          <w:szCs w:val="22"/>
        </w:rPr>
        <w:t>s</w:t>
      </w:r>
      <w:r w:rsidRPr="001D5F79">
        <w:rPr>
          <w:rFonts w:asciiTheme="minorHAnsi" w:hAnsiTheme="minorHAnsi"/>
          <w:sz w:val="22"/>
          <w:szCs w:val="22"/>
        </w:rPr>
        <w:t xml:space="preserve"> dans une commune bruxelloise et un </w:t>
      </w:r>
      <w:r w:rsidR="00EF4F3A" w:rsidRPr="001D5F79">
        <w:rPr>
          <w:rFonts w:asciiTheme="minorHAnsi" w:hAnsiTheme="minorHAnsi"/>
          <w:sz w:val="22"/>
          <w:szCs w:val="22"/>
        </w:rPr>
        <w:t>ensemble</w:t>
      </w:r>
      <w:r w:rsidRPr="001D5F79">
        <w:rPr>
          <w:rFonts w:asciiTheme="minorHAnsi" w:hAnsiTheme="minorHAnsi"/>
          <w:sz w:val="22"/>
          <w:szCs w:val="22"/>
        </w:rPr>
        <w:t xml:space="preserve"> de paramètres sociaux problématiques (Crimes et délits, faible éducation, bas revenus, haute dépendance sociale</w:t>
      </w:r>
      <w:r w:rsidR="007C2B2F">
        <w:rPr>
          <w:rFonts w:asciiTheme="minorHAnsi" w:hAnsiTheme="minorHAnsi"/>
          <w:sz w:val="22"/>
          <w:szCs w:val="22"/>
        </w:rPr>
        <w:t>, haute religiosité</w:t>
      </w:r>
      <w:r w:rsidR="00EF4F3A" w:rsidRPr="001D5F79">
        <w:rPr>
          <w:rFonts w:asciiTheme="minorHAnsi" w:hAnsiTheme="minorHAnsi"/>
          <w:sz w:val="22"/>
          <w:szCs w:val="22"/>
        </w:rPr>
        <w:t>…</w:t>
      </w:r>
      <w:r w:rsidRPr="001D5F79">
        <w:rPr>
          <w:rFonts w:asciiTheme="minorHAnsi" w:hAnsiTheme="minorHAnsi"/>
          <w:sz w:val="22"/>
          <w:szCs w:val="22"/>
        </w:rPr>
        <w:t>).</w:t>
      </w:r>
      <w:r w:rsidRPr="001D5F79">
        <w:rPr>
          <w:rFonts w:asciiTheme="minorHAnsi" w:hAnsiTheme="minorHAnsi"/>
          <w:b/>
          <w:sz w:val="22"/>
          <w:szCs w:val="22"/>
        </w:rPr>
        <w:t xml:space="preserve"> </w:t>
      </w:r>
      <w:r w:rsidRPr="001D5F79">
        <w:rPr>
          <w:rFonts w:asciiTheme="minorHAnsi" w:hAnsiTheme="minorHAnsi"/>
          <w:b/>
          <w:sz w:val="22"/>
          <w:szCs w:val="22"/>
        </w:rPr>
        <w:br/>
      </w:r>
      <w:r w:rsidRPr="001D5F79">
        <w:rPr>
          <w:rFonts w:asciiTheme="minorHAnsi" w:hAnsiTheme="minorHAnsi"/>
          <w:b/>
          <w:sz w:val="22"/>
          <w:szCs w:val="22"/>
        </w:rPr>
        <w:br/>
      </w:r>
      <w:r w:rsidR="00EF4F3A" w:rsidRPr="001D5F79">
        <w:rPr>
          <w:rFonts w:asciiTheme="minorHAnsi" w:hAnsiTheme="minorHAnsi" w:cs="Arial"/>
          <w:color w:val="252525"/>
          <w:sz w:val="22"/>
          <w:szCs w:val="22"/>
        </w:rPr>
        <w:t>Cependant, u</w:t>
      </w:r>
      <w:r w:rsidRPr="001D5F79">
        <w:rPr>
          <w:rFonts w:asciiTheme="minorHAnsi" w:hAnsiTheme="minorHAnsi" w:cs="Arial"/>
          <w:color w:val="252525"/>
          <w:sz w:val="22"/>
          <w:szCs w:val="22"/>
        </w:rPr>
        <w:t>ne corrélation n'est pas synonyme de causalité. La liste des critères</w:t>
      </w:r>
      <w:r w:rsidR="00EF4F3A" w:rsidRPr="001D5F79">
        <w:rPr>
          <w:rFonts w:asciiTheme="minorHAnsi" w:hAnsiTheme="minorHAnsi" w:cs="Arial"/>
          <w:color w:val="252525"/>
          <w:sz w:val="22"/>
          <w:szCs w:val="22"/>
        </w:rPr>
        <w:t xml:space="preserve"> pour qu’une corrélation puisse être considérée comme causalité est la suivante (critères de causalité de Hill)</w:t>
      </w:r>
      <w:r w:rsidRPr="001D5F79">
        <w:rPr>
          <w:rFonts w:asciiTheme="minorHAnsi" w:hAnsiTheme="minorHAnsi" w:cs="Arial"/>
          <w:color w:val="252525"/>
          <w:sz w:val="22"/>
          <w:szCs w:val="22"/>
        </w:rPr>
        <w:t> :</w:t>
      </w:r>
    </w:p>
    <w:p w14:paraId="35D44A46" w14:textId="77777777" w:rsidR="00CF561D" w:rsidRPr="001D5F79" w:rsidRDefault="00CF561D" w:rsidP="00CF561D">
      <w:pPr>
        <w:numPr>
          <w:ilvl w:val="0"/>
          <w:numId w:val="2"/>
        </w:numPr>
        <w:shd w:val="clear" w:color="auto" w:fill="FFFFFF"/>
        <w:spacing w:before="100" w:beforeAutospacing="1" w:after="24" w:line="336" w:lineRule="atLeast"/>
        <w:ind w:left="768"/>
        <w:rPr>
          <w:rFonts w:cs="Arial"/>
          <w:color w:val="252525"/>
        </w:rPr>
      </w:pPr>
      <w:r w:rsidRPr="001D5F79">
        <w:rPr>
          <w:rFonts w:cs="Arial"/>
          <w:b/>
          <w:i/>
          <w:color w:val="252525"/>
        </w:rPr>
        <w:t>Force de l'association (risque relatif ou</w:t>
      </w:r>
      <w:r w:rsidRPr="001D5F79">
        <w:rPr>
          <w:rStyle w:val="apple-converted-space"/>
          <w:rFonts w:cs="Arial"/>
          <w:b/>
          <w:i/>
          <w:color w:val="252525"/>
        </w:rPr>
        <w:t> </w:t>
      </w:r>
      <w:hyperlink r:id="rId31" w:tooltip="Odds ratio" w:history="1">
        <w:proofErr w:type="spellStart"/>
        <w:r w:rsidRPr="001D5F79">
          <w:rPr>
            <w:rStyle w:val="Lienhypertexte"/>
            <w:rFonts w:cs="Arial"/>
            <w:b/>
            <w:i/>
            <w:color w:val="0B0080"/>
          </w:rPr>
          <w:t>Odds</w:t>
        </w:r>
        <w:proofErr w:type="spellEnd"/>
        <w:r w:rsidRPr="001D5F79">
          <w:rPr>
            <w:rStyle w:val="Lienhypertexte"/>
            <w:rFonts w:cs="Arial"/>
            <w:b/>
            <w:i/>
            <w:color w:val="0B0080"/>
          </w:rPr>
          <w:t xml:space="preserve"> ratio</w:t>
        </w:r>
      </w:hyperlink>
      <w:r w:rsidRPr="001D5F79">
        <w:rPr>
          <w:rFonts w:cs="Arial"/>
          <w:b/>
          <w:i/>
          <w:color w:val="252525"/>
        </w:rPr>
        <w:t>) ;</w:t>
      </w:r>
      <w:r w:rsidRPr="001D5F79">
        <w:rPr>
          <w:rFonts w:cs="Arial"/>
          <w:color w:val="252525"/>
        </w:rPr>
        <w:br/>
        <w:t>Nous avons montré précédemment que les corrélation</w:t>
      </w:r>
      <w:r w:rsidR="008E2AEE">
        <w:rPr>
          <w:rFonts w:cs="Arial"/>
          <w:color w:val="252525"/>
        </w:rPr>
        <w:t>s</w:t>
      </w:r>
      <w:r w:rsidRPr="001D5F79">
        <w:rPr>
          <w:rFonts w:cs="Arial"/>
          <w:color w:val="252525"/>
        </w:rPr>
        <w:t xml:space="preserve"> retrouvées sont extrêmement élevées. </w:t>
      </w:r>
      <w:r w:rsidRPr="001D5F79">
        <w:rPr>
          <w:rFonts w:cs="Arial"/>
          <w:color w:val="252525"/>
        </w:rPr>
        <w:br/>
      </w:r>
    </w:p>
    <w:p w14:paraId="1C1F9103" w14:textId="0164D925" w:rsidR="00CF561D" w:rsidRPr="00E55CEB" w:rsidRDefault="00CF561D" w:rsidP="00E55CEB">
      <w:pPr>
        <w:numPr>
          <w:ilvl w:val="0"/>
          <w:numId w:val="2"/>
        </w:numPr>
        <w:shd w:val="clear" w:color="auto" w:fill="FFFFFF"/>
        <w:spacing w:before="100" w:beforeAutospacing="1" w:after="24" w:line="336" w:lineRule="atLeast"/>
        <w:ind w:left="768"/>
        <w:rPr>
          <w:rFonts w:cs="Arial"/>
          <w:color w:val="252525"/>
        </w:rPr>
      </w:pPr>
      <w:r w:rsidRPr="001D5F79">
        <w:rPr>
          <w:rFonts w:cs="Arial"/>
          <w:b/>
          <w:i/>
          <w:color w:val="252525"/>
        </w:rPr>
        <w:t>Cohérence (répétition des observations dans différentes populations) ;</w:t>
      </w:r>
      <w:r w:rsidRPr="001D5F79">
        <w:rPr>
          <w:rFonts w:cs="Arial"/>
          <w:i/>
          <w:color w:val="252525"/>
        </w:rPr>
        <w:br/>
      </w:r>
      <w:r w:rsidRPr="001D5F79">
        <w:rPr>
          <w:rFonts w:cs="Arial"/>
          <w:color w:val="252525"/>
        </w:rPr>
        <w:t xml:space="preserve">Ces observations sont parallèles à celles observées en Angleterre, aux Pays-Bas, en Amérique, en Australie en Afrique ou en Asie. </w:t>
      </w:r>
      <w:r w:rsidRPr="00E55CEB">
        <w:rPr>
          <w:rFonts w:cs="Arial"/>
          <w:b/>
          <w:i/>
          <w:color w:val="252525"/>
        </w:rPr>
        <w:br/>
      </w:r>
    </w:p>
    <w:p w14:paraId="020AD358" w14:textId="04F1CE73" w:rsidR="00CF561D" w:rsidRPr="001D5F79" w:rsidRDefault="00CF561D" w:rsidP="00CF561D">
      <w:pPr>
        <w:numPr>
          <w:ilvl w:val="0"/>
          <w:numId w:val="2"/>
        </w:numPr>
        <w:shd w:val="clear" w:color="auto" w:fill="FFFFFF"/>
        <w:spacing w:before="100" w:beforeAutospacing="1" w:after="24" w:line="336" w:lineRule="atLeast"/>
        <w:ind w:left="768"/>
        <w:rPr>
          <w:rFonts w:cs="Arial"/>
          <w:color w:val="252525"/>
        </w:rPr>
      </w:pPr>
      <w:r w:rsidRPr="001D5F79">
        <w:rPr>
          <w:rFonts w:cs="Arial"/>
          <w:b/>
          <w:i/>
          <w:color w:val="252525"/>
        </w:rPr>
        <w:t>Relation temporelle (temporalité). Les causes doivent précéder les conséquences ;</w:t>
      </w:r>
      <w:r w:rsidRPr="001D5F79">
        <w:rPr>
          <w:rFonts w:cs="Arial"/>
          <w:b/>
          <w:color w:val="252525"/>
        </w:rPr>
        <w:br/>
      </w:r>
      <w:r w:rsidR="008E2AEE">
        <w:rPr>
          <w:rFonts w:cs="Arial"/>
          <w:color w:val="252525"/>
        </w:rPr>
        <w:t>Nous avons établi</w:t>
      </w:r>
      <w:r w:rsidRPr="001D5F79">
        <w:rPr>
          <w:rFonts w:cs="Arial"/>
          <w:color w:val="252525"/>
        </w:rPr>
        <w:t xml:space="preserve"> la relation temporelle en retraçant l’arrivée des populations nord-africaines en </w:t>
      </w:r>
      <w:r w:rsidR="008B4661">
        <w:rPr>
          <w:rFonts w:cs="Arial"/>
          <w:color w:val="252525"/>
        </w:rPr>
        <w:t xml:space="preserve">Belgique et un déclin progressif et concomitant. </w:t>
      </w:r>
      <w:r w:rsidRPr="001D5F79">
        <w:rPr>
          <w:rFonts w:cs="Arial"/>
          <w:color w:val="252525"/>
        </w:rPr>
        <w:t xml:space="preserve"> </w:t>
      </w:r>
      <w:r w:rsidR="001D5F79" w:rsidRPr="001D5F79">
        <w:rPr>
          <w:rFonts w:cs="Arial"/>
          <w:color w:val="252525"/>
        </w:rPr>
        <w:br/>
      </w:r>
      <w:r w:rsidR="001D5F79" w:rsidRPr="001D5F79">
        <w:rPr>
          <w:rFonts w:cs="Arial"/>
          <w:color w:val="252525"/>
        </w:rPr>
        <w:br/>
      </w:r>
      <w:r w:rsidR="001D5F79" w:rsidRPr="001D5F79">
        <w:rPr>
          <w:b/>
          <w:noProof/>
          <w:lang w:eastAsia="fr-BE"/>
        </w:rPr>
        <w:drawing>
          <wp:inline distT="0" distB="0" distL="0" distR="0" wp14:anchorId="1453F8B5" wp14:editId="5CC363FD">
            <wp:extent cx="3344580" cy="199072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47444" cy="1992430"/>
                    </a:xfrm>
                    <a:prstGeom prst="rect">
                      <a:avLst/>
                    </a:prstGeom>
                    <a:noFill/>
                    <a:ln>
                      <a:noFill/>
                    </a:ln>
                  </pic:spPr>
                </pic:pic>
              </a:graphicData>
            </a:graphic>
          </wp:inline>
        </w:drawing>
      </w:r>
    </w:p>
    <w:p w14:paraId="745A93BC" w14:textId="77777777" w:rsidR="00CF561D" w:rsidRPr="001D5F79" w:rsidRDefault="00CF561D" w:rsidP="00CF561D">
      <w:pPr>
        <w:numPr>
          <w:ilvl w:val="0"/>
          <w:numId w:val="2"/>
        </w:numPr>
        <w:shd w:val="clear" w:color="auto" w:fill="FFFFFF"/>
        <w:spacing w:before="100" w:beforeAutospacing="1" w:after="24" w:line="336" w:lineRule="atLeast"/>
        <w:ind w:left="768"/>
        <w:rPr>
          <w:rFonts w:cs="Arial"/>
          <w:color w:val="252525"/>
        </w:rPr>
      </w:pPr>
      <w:r w:rsidRPr="001D5F79">
        <w:rPr>
          <w:rFonts w:cs="Arial"/>
          <w:i/>
          <w:color w:val="252525"/>
        </w:rPr>
        <w:t>Relation dose-effet ;</w:t>
      </w:r>
      <w:r w:rsidRPr="001D5F79">
        <w:rPr>
          <w:rFonts w:cs="Arial"/>
          <w:color w:val="252525"/>
        </w:rPr>
        <w:br/>
        <w:t>Les corrélations reprises précédemment montrent une relation dose-effet très nette.</w:t>
      </w:r>
      <w:r w:rsidRPr="001D5F79">
        <w:rPr>
          <w:rFonts w:cs="Arial"/>
          <w:color w:val="252525"/>
        </w:rPr>
        <w:br/>
      </w:r>
    </w:p>
    <w:p w14:paraId="51E2790D" w14:textId="4B89C601" w:rsidR="00CF561D" w:rsidRPr="001D5F79" w:rsidRDefault="00CF561D" w:rsidP="00CF561D">
      <w:pPr>
        <w:numPr>
          <w:ilvl w:val="0"/>
          <w:numId w:val="2"/>
        </w:numPr>
        <w:shd w:val="clear" w:color="auto" w:fill="FFFFFF"/>
        <w:spacing w:before="100" w:beforeAutospacing="1" w:after="24" w:line="336" w:lineRule="atLeast"/>
        <w:ind w:left="768"/>
        <w:rPr>
          <w:rFonts w:cs="Arial"/>
          <w:color w:val="252525"/>
        </w:rPr>
      </w:pPr>
      <w:r w:rsidRPr="001D5F79">
        <w:rPr>
          <w:rFonts w:cs="Arial"/>
          <w:i/>
          <w:color w:val="252525"/>
        </w:rPr>
        <w:t>Plausibilité (plausibilité biologique) ;</w:t>
      </w:r>
      <w:r w:rsidRPr="001D5F79">
        <w:rPr>
          <w:rFonts w:cs="Arial"/>
          <w:color w:val="252525"/>
        </w:rPr>
        <w:br/>
        <w:t xml:space="preserve">Elle est claire et </w:t>
      </w:r>
      <w:r w:rsidR="00EF4F3A" w:rsidRPr="001D5F79">
        <w:rPr>
          <w:rFonts w:cs="Arial"/>
          <w:color w:val="252525"/>
        </w:rPr>
        <w:t>appuyé</w:t>
      </w:r>
      <w:r w:rsidR="008B4661">
        <w:rPr>
          <w:rFonts w:cs="Arial"/>
          <w:color w:val="252525"/>
        </w:rPr>
        <w:t>e</w:t>
      </w:r>
      <w:r w:rsidR="00EF4F3A" w:rsidRPr="001D5F79">
        <w:rPr>
          <w:rFonts w:cs="Arial"/>
          <w:color w:val="252525"/>
        </w:rPr>
        <w:t xml:space="preserve"> par l’ensemble de la recherche</w:t>
      </w:r>
      <w:r w:rsidR="008E2AEE">
        <w:rPr>
          <w:rFonts w:cs="Arial"/>
          <w:color w:val="252525"/>
        </w:rPr>
        <w:t xml:space="preserve"> scientifique</w:t>
      </w:r>
      <w:r w:rsidR="00EF4F3A" w:rsidRPr="001D5F79">
        <w:rPr>
          <w:rFonts w:cs="Arial"/>
          <w:color w:val="252525"/>
        </w:rPr>
        <w:t xml:space="preserve"> sur l</w:t>
      </w:r>
      <w:r w:rsidR="00E55CEB">
        <w:rPr>
          <w:rFonts w:cs="Arial"/>
          <w:color w:val="252525"/>
        </w:rPr>
        <w:t>’intelligence</w:t>
      </w:r>
      <w:r w:rsidR="00EF4F3A" w:rsidRPr="001D5F79">
        <w:rPr>
          <w:rFonts w:cs="Arial"/>
          <w:color w:val="252525"/>
        </w:rPr>
        <w:t xml:space="preserve">. </w:t>
      </w:r>
      <w:r w:rsidRPr="001D5F79">
        <w:rPr>
          <w:rFonts w:cs="Arial"/>
          <w:color w:val="252525"/>
        </w:rPr>
        <w:br/>
      </w:r>
    </w:p>
    <w:p w14:paraId="4721F6A2" w14:textId="0D7D4984" w:rsidR="00246428" w:rsidRPr="00FE0804" w:rsidRDefault="00E55CEB" w:rsidP="00246428">
      <w:r>
        <w:rPr>
          <w:b/>
          <w:sz w:val="28"/>
          <w:szCs w:val="28"/>
        </w:rPr>
        <w:lastRenderedPageBreak/>
        <w:br/>
      </w:r>
      <w:r w:rsidR="00204E4A">
        <w:rPr>
          <w:noProof/>
        </w:rPr>
        <w:drawing>
          <wp:inline distT="0" distB="0" distL="0" distR="0" wp14:anchorId="42BE33A2" wp14:editId="501EF5F7">
            <wp:extent cx="4623990" cy="2438400"/>
            <wp:effectExtent l="0" t="0" r="5715" b="0"/>
            <wp:docPr id="25" name="Image 25" descr="Hiérarchie mondiale, QI et Intelligence Hu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érarchie mondiale, QI et Intelligence Huma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7565" cy="2440285"/>
                    </a:xfrm>
                    <a:prstGeom prst="rect">
                      <a:avLst/>
                    </a:prstGeom>
                    <a:noFill/>
                    <a:ln>
                      <a:noFill/>
                    </a:ln>
                  </pic:spPr>
                </pic:pic>
              </a:graphicData>
            </a:graphic>
          </wp:inline>
        </w:drawing>
      </w:r>
      <w:r>
        <w:br/>
      </w:r>
      <w:r w:rsidR="002F15AF">
        <w:rPr>
          <w:b/>
          <w:sz w:val="28"/>
          <w:szCs w:val="28"/>
        </w:rPr>
        <w:br/>
      </w:r>
      <w:r w:rsidR="00246428" w:rsidRPr="000A62E2">
        <w:rPr>
          <w:rFonts w:cstheme="minorHAnsi"/>
          <w:b/>
        </w:rPr>
        <w:t>Conclusion</w:t>
      </w:r>
      <w:r w:rsidR="00246428" w:rsidRPr="000A62E2">
        <w:rPr>
          <w:rFonts w:cstheme="minorHAnsi"/>
          <w:b/>
        </w:rPr>
        <w:br/>
      </w:r>
      <w:r w:rsidR="00246428" w:rsidRPr="000A62E2">
        <w:rPr>
          <w:rFonts w:cstheme="minorHAnsi"/>
          <w:b/>
        </w:rPr>
        <w:br/>
      </w:r>
      <w:r w:rsidR="00246428" w:rsidRPr="000A62E2">
        <w:rPr>
          <w:rFonts w:cstheme="minorHAnsi"/>
          <w:bCs/>
        </w:rPr>
        <w:t xml:space="preserve">A Bruxelles comme dans n’importe quelle autre entité multi-ethnique à travers le monde, la structure sociale semble dictée de façon rigide par l’intelligence (voir « The Bell </w:t>
      </w:r>
      <w:proofErr w:type="spellStart"/>
      <w:r w:rsidR="00246428" w:rsidRPr="000A62E2">
        <w:rPr>
          <w:rFonts w:cstheme="minorHAnsi"/>
          <w:bCs/>
        </w:rPr>
        <w:t>Curve</w:t>
      </w:r>
      <w:proofErr w:type="spellEnd"/>
      <w:r w:rsidR="00246428" w:rsidRPr="000A62E2">
        <w:rPr>
          <w:rFonts w:cstheme="minorHAnsi"/>
          <w:bCs/>
        </w:rPr>
        <w:t xml:space="preserve"> » pour le cas américain et « The Global Bell </w:t>
      </w:r>
      <w:proofErr w:type="spellStart"/>
      <w:r w:rsidR="00246428" w:rsidRPr="000A62E2">
        <w:rPr>
          <w:rFonts w:cstheme="minorHAnsi"/>
          <w:bCs/>
        </w:rPr>
        <w:t>Curve</w:t>
      </w:r>
      <w:proofErr w:type="spellEnd"/>
      <w:r w:rsidR="00246428" w:rsidRPr="000A62E2">
        <w:rPr>
          <w:rFonts w:cstheme="minorHAnsi"/>
          <w:bCs/>
        </w:rPr>
        <w:t xml:space="preserve"> » pour des données mondiales. Voir références). </w:t>
      </w:r>
      <w:r w:rsidR="00246428" w:rsidRPr="000A62E2">
        <w:rPr>
          <w:rFonts w:cstheme="minorHAnsi"/>
          <w:bCs/>
        </w:rPr>
        <w:br/>
      </w:r>
      <w:r w:rsidR="00246428" w:rsidRPr="000A62E2">
        <w:rPr>
          <w:rFonts w:cstheme="minorHAnsi"/>
          <w:bCs/>
        </w:rPr>
        <w:br/>
        <w:t>Les populations maghrébines de Bruxelles et de Belgique ont toutes les caractéristiques typiques des populations à bas Q.I : Plus haute délinquante, faible niveau d’éducation, haute fécondité,</w:t>
      </w:r>
      <w:r w:rsidR="00246428">
        <w:rPr>
          <w:rFonts w:cstheme="minorHAnsi"/>
          <w:bCs/>
        </w:rPr>
        <w:t xml:space="preserve"> haute fréquence de déficience mentale,</w:t>
      </w:r>
      <w:r w:rsidR="00246428" w:rsidRPr="000A62E2">
        <w:rPr>
          <w:rFonts w:cstheme="minorHAnsi"/>
          <w:bCs/>
        </w:rPr>
        <w:t xml:space="preserve"> haut taux de chômage, haute dépendance sociale, davantage d’accidents de voitures (notamment parce que les bas QI ont des temps de réaction simples plus lents) et une faible fréquence d’athéisme. </w:t>
      </w:r>
      <w:r w:rsidR="00246428" w:rsidRPr="000A62E2">
        <w:rPr>
          <w:rFonts w:cstheme="minorHAnsi"/>
          <w:bCs/>
        </w:rPr>
        <w:br/>
      </w:r>
      <w:r w:rsidR="00246428" w:rsidRPr="000A62E2">
        <w:rPr>
          <w:rFonts w:cstheme="minorHAnsi"/>
          <w:bCs/>
        </w:rPr>
        <w:br/>
        <w:t>L’implantation d</w:t>
      </w:r>
      <w:r w:rsidR="00246428">
        <w:rPr>
          <w:rFonts w:cstheme="minorHAnsi"/>
          <w:bCs/>
        </w:rPr>
        <w:t>e</w:t>
      </w:r>
      <w:r w:rsidR="00246428" w:rsidRPr="000A62E2">
        <w:rPr>
          <w:rFonts w:cstheme="minorHAnsi"/>
          <w:bCs/>
        </w:rPr>
        <w:t xml:space="preserve"> population</w:t>
      </w:r>
      <w:r w:rsidR="00246428">
        <w:rPr>
          <w:rFonts w:cstheme="minorHAnsi"/>
          <w:bCs/>
        </w:rPr>
        <w:t>s</w:t>
      </w:r>
      <w:r w:rsidR="00246428" w:rsidRPr="000A62E2">
        <w:rPr>
          <w:rFonts w:cstheme="minorHAnsi"/>
          <w:bCs/>
        </w:rPr>
        <w:t xml:space="preserve"> </w:t>
      </w:r>
      <w:r w:rsidR="00246428">
        <w:rPr>
          <w:rFonts w:cstheme="minorHAnsi"/>
          <w:bCs/>
        </w:rPr>
        <w:t>marocaines</w:t>
      </w:r>
      <w:r w:rsidR="00246428" w:rsidRPr="000A62E2">
        <w:rPr>
          <w:rFonts w:cstheme="minorHAnsi"/>
          <w:bCs/>
        </w:rPr>
        <w:t xml:space="preserve"> en Belgique, principalement à Bruxelles mais pas seulement, a eu pour conséquence une diminution tout à fait substantielle de l’intelligence moyenne et conséquemment du niveau de développement. En 50 ans, l’indice de richesse de Bruxelles a été pulvérisé, passant de 139 en 1971 à 79 en 2015, en déclin continu et presque linéaire, concomitant à l’augmentation de la part nord-africaine de Bruxelles. Ce déclin va continuer</w:t>
      </w:r>
      <w:r w:rsidR="00246428">
        <w:rPr>
          <w:rFonts w:cstheme="minorHAnsi"/>
          <w:bCs/>
        </w:rPr>
        <w:t>.</w:t>
      </w:r>
      <w:r w:rsidR="00246428" w:rsidRPr="000A62E2">
        <w:rPr>
          <w:rFonts w:cstheme="minorHAnsi"/>
          <w:bCs/>
        </w:rPr>
        <w:br/>
      </w:r>
      <w:r w:rsidR="00246428" w:rsidRPr="000A62E2">
        <w:rPr>
          <w:rFonts w:cstheme="minorHAnsi"/>
          <w:bCs/>
        </w:rPr>
        <w:br/>
        <w:t xml:space="preserve">Les très faibles résultats sociaux des communes de Saint-Josse-Ten-Noode, Molenbeek, Schaerbeek ou Anderlecht sont d’autant plus surprenants que ces communes sont situées au cœur même de la région de Bruxelles, centre économique de la Belgique. Des sociologues avaient émis l’hypothèse que les problèmes des banlieues françaises découlaient en partie de leur position excentrée par rapport au centre-ville. Vraisemblablement, </w:t>
      </w:r>
      <w:r w:rsidR="00246428">
        <w:rPr>
          <w:rFonts w:cstheme="minorHAnsi"/>
          <w:bCs/>
        </w:rPr>
        <w:t>i</w:t>
      </w:r>
      <w:r w:rsidR="00246428" w:rsidRPr="000A62E2">
        <w:rPr>
          <w:rFonts w:cstheme="minorHAnsi"/>
          <w:bCs/>
        </w:rPr>
        <w:t>l s’agissait d’une (</w:t>
      </w:r>
      <w:proofErr w:type="spellStart"/>
      <w:r w:rsidR="00246428" w:rsidRPr="000A62E2">
        <w:rPr>
          <w:rFonts w:cstheme="minorHAnsi"/>
          <w:bCs/>
        </w:rPr>
        <w:t>enième</w:t>
      </w:r>
      <w:proofErr w:type="spellEnd"/>
      <w:r w:rsidR="00246428" w:rsidRPr="000A62E2">
        <w:rPr>
          <w:rFonts w:cstheme="minorHAnsi"/>
          <w:bCs/>
        </w:rPr>
        <w:t xml:space="preserve">) explication ad-hoc. </w:t>
      </w:r>
      <w:r w:rsidR="00246428" w:rsidRPr="000A62E2">
        <w:rPr>
          <w:rFonts w:cstheme="minorHAnsi"/>
          <w:bCs/>
        </w:rPr>
        <w:br/>
      </w:r>
      <w:r w:rsidR="00246428" w:rsidRPr="000A62E2">
        <w:rPr>
          <w:rFonts w:cstheme="minorHAnsi"/>
          <w:bCs/>
        </w:rPr>
        <w:br/>
        <w:t xml:space="preserve">C’est sur ce terreau que prospère le terrorisme islamique. « Faith </w:t>
      </w:r>
      <w:proofErr w:type="spellStart"/>
      <w:r w:rsidR="00246428" w:rsidRPr="000A62E2">
        <w:rPr>
          <w:rFonts w:cstheme="minorHAnsi"/>
          <w:bCs/>
        </w:rPr>
        <w:t>is</w:t>
      </w:r>
      <w:proofErr w:type="spellEnd"/>
      <w:r w:rsidR="00246428" w:rsidRPr="000A62E2">
        <w:rPr>
          <w:rFonts w:cstheme="minorHAnsi"/>
          <w:bCs/>
        </w:rPr>
        <w:t xml:space="preserve"> a </w:t>
      </w:r>
      <w:proofErr w:type="spellStart"/>
      <w:r w:rsidR="00246428" w:rsidRPr="000A62E2">
        <w:rPr>
          <w:rFonts w:cstheme="minorHAnsi"/>
          <w:bCs/>
        </w:rPr>
        <w:t>low</w:t>
      </w:r>
      <w:proofErr w:type="spellEnd"/>
      <w:r w:rsidR="00246428" w:rsidRPr="000A62E2">
        <w:rPr>
          <w:rFonts w:cstheme="minorHAnsi"/>
          <w:bCs/>
        </w:rPr>
        <w:t xml:space="preserve"> I.Q </w:t>
      </w:r>
      <w:proofErr w:type="spellStart"/>
      <w:r w:rsidR="00246428" w:rsidRPr="000A62E2">
        <w:rPr>
          <w:rFonts w:cstheme="minorHAnsi"/>
          <w:bCs/>
        </w:rPr>
        <w:t>phenomenon</w:t>
      </w:r>
      <w:proofErr w:type="spellEnd"/>
      <w:r w:rsidR="00246428" w:rsidRPr="000A62E2">
        <w:rPr>
          <w:rFonts w:cstheme="minorHAnsi"/>
          <w:bCs/>
        </w:rPr>
        <w:t xml:space="preserve"> », comme le démontrait </w:t>
      </w:r>
      <w:proofErr w:type="spellStart"/>
      <w:r w:rsidR="00246428" w:rsidRPr="000A62E2">
        <w:rPr>
          <w:rFonts w:cstheme="minorHAnsi"/>
          <w:bCs/>
        </w:rPr>
        <w:t>Helmuth</w:t>
      </w:r>
      <w:proofErr w:type="spellEnd"/>
      <w:r w:rsidR="00246428" w:rsidRPr="000A62E2">
        <w:rPr>
          <w:rFonts w:cstheme="minorHAnsi"/>
          <w:bCs/>
        </w:rPr>
        <w:t xml:space="preserve"> Nyborg. Molenbeek est récemment sorti de son relatif anonymat international en ayant été identifié comme ville de naissance de nombreux terroristes européens.  </w:t>
      </w:r>
      <w:r w:rsidR="00246428" w:rsidRPr="000A62E2">
        <w:rPr>
          <w:rFonts w:cstheme="minorHAnsi"/>
          <w:bCs/>
        </w:rPr>
        <w:br/>
      </w:r>
      <w:r w:rsidR="00246428" w:rsidRPr="000A62E2">
        <w:rPr>
          <w:rFonts w:cstheme="minorHAnsi"/>
          <w:bCs/>
        </w:rPr>
        <w:br/>
      </w:r>
      <w:r w:rsidR="00246428" w:rsidRPr="000A62E2">
        <w:rPr>
          <w:rFonts w:cstheme="minorHAnsi"/>
        </w:rPr>
        <w:t xml:space="preserve">En Belgique francophone, la « loi </w:t>
      </w:r>
      <w:proofErr w:type="spellStart"/>
      <w:r w:rsidR="00246428" w:rsidRPr="000A62E2">
        <w:rPr>
          <w:rFonts w:cstheme="minorHAnsi"/>
        </w:rPr>
        <w:t>Moureaux</w:t>
      </w:r>
      <w:proofErr w:type="spellEnd"/>
      <w:r w:rsidR="00246428" w:rsidRPr="000A62E2">
        <w:rPr>
          <w:rFonts w:cstheme="minorHAnsi"/>
        </w:rPr>
        <w:t xml:space="preserve"> » plus connue comme « loi antiraciste » criminalise dans les faits toute critique de l’immigration ou la prise en considération des différences raciales, bien </w:t>
      </w:r>
      <w:r w:rsidR="00246428" w:rsidRPr="000A62E2">
        <w:rPr>
          <w:rFonts w:cstheme="minorHAnsi"/>
        </w:rPr>
        <w:lastRenderedPageBreak/>
        <w:t>réelles, d’intelligence.</w:t>
      </w:r>
      <w:r w:rsidR="00246428">
        <w:rPr>
          <w:rFonts w:cstheme="minorHAnsi"/>
        </w:rPr>
        <w:t xml:space="preserve"> Cette loi</w:t>
      </w:r>
      <w:r w:rsidR="00246428" w:rsidRPr="000A62E2">
        <w:rPr>
          <w:rFonts w:cstheme="minorHAnsi"/>
        </w:rPr>
        <w:t xml:space="preserve"> tire son nom de Philippe </w:t>
      </w:r>
      <w:proofErr w:type="spellStart"/>
      <w:r w:rsidR="00246428" w:rsidRPr="000A62E2">
        <w:rPr>
          <w:rFonts w:cstheme="minorHAnsi"/>
        </w:rPr>
        <w:t>Moureaux</w:t>
      </w:r>
      <w:proofErr w:type="spellEnd"/>
      <w:r w:rsidR="00246428" w:rsidRPr="000A62E2">
        <w:rPr>
          <w:rFonts w:cstheme="minorHAnsi"/>
        </w:rPr>
        <w:t>, bourgmestre socialiste de Molenbeek de 1992 à 2012. Avec Saint-Josse, Molenbeek a les pires paramètres sociaux-économiques de Bruxelles et de l’ensemble de la Belgique, la délinquance la plus forte</w:t>
      </w:r>
      <w:r w:rsidR="00246428">
        <w:rPr>
          <w:rFonts w:cstheme="minorHAnsi"/>
        </w:rPr>
        <w:t xml:space="preserve"> et les plus faibles niveaux d’éducation</w:t>
      </w:r>
      <w:r w:rsidR="00246428" w:rsidRPr="000A62E2">
        <w:rPr>
          <w:rFonts w:cstheme="minorHAnsi"/>
        </w:rPr>
        <w:t xml:space="preserve">. Avec la « loi </w:t>
      </w:r>
      <w:proofErr w:type="spellStart"/>
      <w:r w:rsidR="00246428" w:rsidRPr="000A62E2">
        <w:rPr>
          <w:rFonts w:cstheme="minorHAnsi"/>
        </w:rPr>
        <w:t>Moureaux</w:t>
      </w:r>
      <w:proofErr w:type="spellEnd"/>
      <w:r w:rsidR="00246428" w:rsidRPr="000A62E2">
        <w:rPr>
          <w:rFonts w:cstheme="minorHAnsi"/>
        </w:rPr>
        <w:t xml:space="preserve"> », c’est </w:t>
      </w:r>
      <w:r w:rsidR="00246428">
        <w:rPr>
          <w:rFonts w:cstheme="minorHAnsi"/>
        </w:rPr>
        <w:t>en quelque sorte</w:t>
      </w:r>
      <w:r w:rsidR="00246428" w:rsidRPr="000A62E2">
        <w:rPr>
          <w:rFonts w:cstheme="minorHAnsi"/>
        </w:rPr>
        <w:t xml:space="preserve"> le dernier de la classe qui impose à tous les autres ce qu’ils ont le droit de penser et de dir</w:t>
      </w:r>
      <w:r w:rsidR="00246428">
        <w:rPr>
          <w:rFonts w:cstheme="minorHAnsi"/>
        </w:rPr>
        <w:t xml:space="preserve">e et les forcent d’une certaine façon à suivre le même déclin. </w:t>
      </w:r>
      <w:r w:rsidR="00246428">
        <w:rPr>
          <w:rFonts w:cstheme="minorHAnsi"/>
        </w:rPr>
        <w:br/>
      </w:r>
      <w:r w:rsidR="00246428" w:rsidRPr="000A62E2">
        <w:rPr>
          <w:rFonts w:cstheme="minorHAnsi"/>
        </w:rPr>
        <w:br/>
        <w:t xml:space="preserve">Le « cordon sanitaire » une règle </w:t>
      </w:r>
      <w:r w:rsidR="00246428">
        <w:rPr>
          <w:rFonts w:cstheme="minorHAnsi"/>
        </w:rPr>
        <w:t>à laquelle sont soumis l’ensemble des médias francophones belges</w:t>
      </w:r>
      <w:r w:rsidR="00246428" w:rsidRPr="000A62E2">
        <w:rPr>
          <w:rFonts w:cstheme="minorHAnsi"/>
        </w:rPr>
        <w:t xml:space="preserve">, interdit l’expression de partis « d’extrême droite » dans l’ensemble des médias télévisés et des journaux. </w:t>
      </w:r>
      <w:r w:rsidR="00246428">
        <w:rPr>
          <w:rFonts w:cstheme="minorHAnsi"/>
        </w:rPr>
        <w:t xml:space="preserve">L’étiquette d’extrême droite étant à l’appréciation des médias eux-mêmes. </w:t>
      </w:r>
      <w:r w:rsidR="00246428" w:rsidRPr="000A62E2">
        <w:rPr>
          <w:rFonts w:cstheme="minorHAnsi"/>
        </w:rPr>
        <w:t xml:space="preserve">C’est ainsi que le Vlaams </w:t>
      </w:r>
      <w:proofErr w:type="spellStart"/>
      <w:r w:rsidR="00246428" w:rsidRPr="000A62E2">
        <w:rPr>
          <w:rFonts w:cstheme="minorHAnsi"/>
        </w:rPr>
        <w:t>Belang</w:t>
      </w:r>
      <w:proofErr w:type="spellEnd"/>
      <w:r w:rsidR="00246428" w:rsidRPr="000A62E2">
        <w:rPr>
          <w:rFonts w:cstheme="minorHAnsi"/>
        </w:rPr>
        <w:t xml:space="preserve"> et la NVA, les deux plus gros partis néerlandophones et belges, ne peuvent s’exprimer dans les médias francophones. L'annulation d'un débat électoral sur la télévision de service public en 2010 au nom du « cordon sanitaire » a été condamnée par l'association Reporters sans frontières</w:t>
      </w:r>
      <w:r w:rsidR="00246428">
        <w:rPr>
          <w:rFonts w:cstheme="minorHAnsi"/>
        </w:rPr>
        <w:t xml:space="preserve">. </w:t>
      </w:r>
      <w:r w:rsidR="00246428" w:rsidRPr="000A62E2">
        <w:rPr>
          <w:rFonts w:cstheme="minorHAnsi"/>
        </w:rPr>
        <w:br/>
      </w:r>
      <w:r w:rsidR="00246428" w:rsidRPr="000A62E2">
        <w:rPr>
          <w:rFonts w:cstheme="minorHAnsi"/>
        </w:rPr>
        <w:br/>
        <w:t>Comme dans la plupart des pays Occidentaux, les journalistes sont nettement plus à gauche politiquement que la population générale</w:t>
      </w:r>
      <w:r w:rsidR="00246428">
        <w:rPr>
          <w:rFonts w:cstheme="minorHAnsi"/>
        </w:rPr>
        <w:t xml:space="preserve"> (</w:t>
      </w:r>
      <w:proofErr w:type="spellStart"/>
      <w:r w:rsidR="00246428">
        <w:rPr>
          <w:rFonts w:cstheme="minorHAnsi"/>
        </w:rPr>
        <w:t>Kirkegaard</w:t>
      </w:r>
      <w:proofErr w:type="spellEnd"/>
      <w:r w:rsidR="00246428">
        <w:rPr>
          <w:rFonts w:cstheme="minorHAnsi"/>
        </w:rPr>
        <w:t xml:space="preserve"> et al. 2021)</w:t>
      </w:r>
      <w:r w:rsidR="00246428" w:rsidRPr="000A62E2">
        <w:rPr>
          <w:rFonts w:cstheme="minorHAnsi"/>
        </w:rPr>
        <w:t xml:space="preserve">. </w:t>
      </w:r>
      <w:r w:rsidR="00246428">
        <w:rPr>
          <w:rFonts w:cstheme="minorHAnsi"/>
        </w:rPr>
        <w:t xml:space="preserve">Loin de dénoncer les atteintes démocratiques du « cordon sanitaire » en Belgique, ils en sont les auteurs et les principaux instigateurs. </w:t>
      </w:r>
      <w:r w:rsidR="00246428">
        <w:rPr>
          <w:rFonts w:cstheme="minorHAnsi"/>
        </w:rPr>
        <w:br/>
      </w:r>
      <w:r w:rsidR="00246428">
        <w:rPr>
          <w:rFonts w:cstheme="minorHAnsi"/>
        </w:rPr>
        <w:br/>
        <w:t xml:space="preserve">En France ce genre de violation démocratique n’a pas lieu, des individus comme Fillon, Zemmour ou </w:t>
      </w:r>
      <w:proofErr w:type="spellStart"/>
      <w:r w:rsidR="00246428">
        <w:rPr>
          <w:rFonts w:cstheme="minorHAnsi"/>
        </w:rPr>
        <w:t>Lepen</w:t>
      </w:r>
      <w:proofErr w:type="spellEnd"/>
      <w:r w:rsidR="00246428">
        <w:rPr>
          <w:rFonts w:cstheme="minorHAnsi"/>
        </w:rPr>
        <w:t xml:space="preserve"> peuvent s’exprimer dans les médias, même si l’animosité des journalistes, à la fois juge et parti, en en général notable.</w:t>
      </w:r>
      <w:r w:rsidR="00246428" w:rsidRPr="000A62E2">
        <w:rPr>
          <w:rFonts w:cstheme="minorHAnsi"/>
        </w:rPr>
        <w:t xml:space="preserve"> </w:t>
      </w:r>
      <w:r w:rsidR="00246428" w:rsidRPr="000A62E2">
        <w:rPr>
          <w:rFonts w:cstheme="minorHAnsi"/>
        </w:rPr>
        <w:br/>
      </w:r>
    </w:p>
    <w:p w14:paraId="25D2EBDA" w14:textId="7CFF8AC0" w:rsidR="00E268A2" w:rsidRDefault="00E268A2" w:rsidP="00B85D01">
      <w:pPr>
        <w:rPr>
          <w:b/>
        </w:rPr>
      </w:pPr>
    </w:p>
    <w:p w14:paraId="27AEBF65" w14:textId="77777777" w:rsidR="00E268A2" w:rsidRDefault="00E268A2" w:rsidP="00B85D01">
      <w:pPr>
        <w:rPr>
          <w:b/>
        </w:rPr>
      </w:pPr>
    </w:p>
    <w:p w14:paraId="75F15E2E" w14:textId="77777777" w:rsidR="00E268A2" w:rsidRDefault="00E268A2" w:rsidP="00B85D01">
      <w:pPr>
        <w:rPr>
          <w:b/>
        </w:rPr>
      </w:pPr>
    </w:p>
    <w:p w14:paraId="47B6F868" w14:textId="77777777" w:rsidR="00E268A2" w:rsidRDefault="00E268A2" w:rsidP="00B85D01">
      <w:pPr>
        <w:rPr>
          <w:b/>
        </w:rPr>
      </w:pPr>
    </w:p>
    <w:p w14:paraId="257CD433" w14:textId="073B403A" w:rsidR="00E55CEB" w:rsidRDefault="00FE0804" w:rsidP="00B85D01">
      <w:pPr>
        <w:rPr>
          <w:b/>
        </w:rPr>
      </w:pPr>
      <w:r>
        <w:rPr>
          <w:b/>
        </w:rPr>
        <w:br/>
      </w:r>
      <w:r>
        <w:rPr>
          <w:b/>
        </w:rPr>
        <w:br/>
      </w:r>
      <w:r>
        <w:rPr>
          <w:b/>
        </w:rPr>
        <w:br/>
      </w:r>
      <w:r>
        <w:rPr>
          <w:b/>
        </w:rPr>
        <w:br/>
      </w:r>
      <w:r>
        <w:rPr>
          <w:b/>
        </w:rPr>
        <w:br/>
      </w:r>
      <w:r>
        <w:rPr>
          <w:b/>
        </w:rPr>
        <w:br/>
      </w:r>
      <w:r>
        <w:rPr>
          <w:b/>
        </w:rPr>
        <w:br/>
      </w:r>
      <w:r>
        <w:rPr>
          <w:b/>
        </w:rPr>
        <w:br/>
      </w:r>
      <w:r>
        <w:rPr>
          <w:b/>
        </w:rPr>
        <w:br/>
      </w:r>
      <w:r>
        <w:rPr>
          <w:b/>
        </w:rPr>
        <w:br/>
      </w:r>
    </w:p>
    <w:p w14:paraId="1068A965" w14:textId="77777777" w:rsidR="00261206" w:rsidRDefault="00261206" w:rsidP="00B85D01">
      <w:pPr>
        <w:rPr>
          <w:b/>
        </w:rPr>
      </w:pPr>
    </w:p>
    <w:p w14:paraId="0583E017" w14:textId="37E5FD3F" w:rsidR="00157077" w:rsidRPr="00FB620A" w:rsidRDefault="00273FBE" w:rsidP="00B85D01">
      <w:pPr>
        <w:rPr>
          <w:rFonts w:cstheme="minorHAnsi"/>
        </w:rPr>
      </w:pPr>
      <w:r w:rsidRPr="00273FBE">
        <w:rPr>
          <w:b/>
        </w:rPr>
        <w:lastRenderedPageBreak/>
        <w:t>Références </w:t>
      </w:r>
      <w:r>
        <w:br/>
      </w:r>
      <w:r>
        <w:br/>
      </w:r>
      <w:r w:rsidR="00992D39" w:rsidRPr="00FB620A">
        <w:rPr>
          <w:rFonts w:cstheme="minorHAnsi"/>
        </w:rPr>
        <w:t xml:space="preserve">Lynn R. (2006) </w:t>
      </w:r>
      <w:r w:rsidRPr="00FB620A">
        <w:rPr>
          <w:rFonts w:cstheme="minorHAnsi"/>
        </w:rPr>
        <w:t>« Rac</w:t>
      </w:r>
      <w:r w:rsidR="00992D39" w:rsidRPr="00FB620A">
        <w:rPr>
          <w:rFonts w:cstheme="minorHAnsi"/>
        </w:rPr>
        <w:t xml:space="preserve">e </w:t>
      </w:r>
      <w:proofErr w:type="spellStart"/>
      <w:r w:rsidR="00992D39" w:rsidRPr="00FB620A">
        <w:rPr>
          <w:rFonts w:cstheme="minorHAnsi"/>
        </w:rPr>
        <w:t>differences</w:t>
      </w:r>
      <w:proofErr w:type="spellEnd"/>
      <w:r w:rsidR="00992D39" w:rsidRPr="00FB620A">
        <w:rPr>
          <w:rFonts w:cstheme="minorHAnsi"/>
        </w:rPr>
        <w:t xml:space="preserve"> in intelligence ».</w:t>
      </w:r>
      <w:r w:rsidRPr="00FB620A">
        <w:rPr>
          <w:rFonts w:cstheme="minorHAnsi"/>
        </w:rPr>
        <w:br/>
      </w:r>
      <w:r w:rsidR="00F210B2" w:rsidRPr="00FB620A">
        <w:rPr>
          <w:rFonts w:cstheme="minorHAnsi"/>
        </w:rPr>
        <w:br/>
      </w:r>
      <w:r w:rsidR="00992D39" w:rsidRPr="00FB620A">
        <w:rPr>
          <w:rFonts w:cstheme="minorHAnsi"/>
        </w:rPr>
        <w:t xml:space="preserve">Lynn R. (2009) </w:t>
      </w:r>
      <w:r w:rsidRPr="00FB620A">
        <w:rPr>
          <w:rFonts w:cstheme="minorHAnsi"/>
        </w:rPr>
        <w:t xml:space="preserve">« The global </w:t>
      </w:r>
      <w:proofErr w:type="spellStart"/>
      <w:r w:rsidRPr="00FB620A">
        <w:rPr>
          <w:rFonts w:cstheme="minorHAnsi"/>
        </w:rPr>
        <w:t>bell</w:t>
      </w:r>
      <w:proofErr w:type="spellEnd"/>
      <w:r w:rsidRPr="00FB620A">
        <w:rPr>
          <w:rFonts w:cstheme="minorHAnsi"/>
        </w:rPr>
        <w:t xml:space="preserve"> </w:t>
      </w:r>
      <w:proofErr w:type="spellStart"/>
      <w:r w:rsidRPr="00FB620A">
        <w:rPr>
          <w:rFonts w:cstheme="minorHAnsi"/>
        </w:rPr>
        <w:t>curve</w:t>
      </w:r>
      <w:proofErr w:type="spellEnd"/>
      <w:r w:rsidRPr="00FB620A">
        <w:rPr>
          <w:rFonts w:cstheme="minorHAnsi"/>
        </w:rPr>
        <w:t xml:space="preserve">. Intelligence, race and </w:t>
      </w:r>
      <w:proofErr w:type="spellStart"/>
      <w:r w:rsidRPr="00FB620A">
        <w:rPr>
          <w:rFonts w:cstheme="minorHAnsi"/>
        </w:rPr>
        <w:t>inequality</w:t>
      </w:r>
      <w:proofErr w:type="spellEnd"/>
      <w:r w:rsidRPr="00FB620A">
        <w:rPr>
          <w:rFonts w:cstheme="minorHAnsi"/>
        </w:rPr>
        <w:t xml:space="preserve"> </w:t>
      </w:r>
      <w:proofErr w:type="spellStart"/>
      <w:r w:rsidRPr="00FB620A">
        <w:rPr>
          <w:rFonts w:cstheme="minorHAnsi"/>
        </w:rPr>
        <w:t>worldwide</w:t>
      </w:r>
      <w:proofErr w:type="spellEnd"/>
      <w:r w:rsidRPr="00FB620A">
        <w:rPr>
          <w:rFonts w:cstheme="minorHAnsi"/>
        </w:rPr>
        <w:t> </w:t>
      </w:r>
      <w:r w:rsidR="00992D39" w:rsidRPr="00FB620A">
        <w:rPr>
          <w:rFonts w:cstheme="minorHAnsi"/>
        </w:rPr>
        <w:br/>
      </w:r>
      <w:r w:rsidR="00F210B2" w:rsidRPr="00FB620A">
        <w:rPr>
          <w:rFonts w:cstheme="minorHAnsi"/>
        </w:rPr>
        <w:br/>
      </w:r>
      <w:r w:rsidR="00C45DB6" w:rsidRPr="00FB620A">
        <w:rPr>
          <w:rFonts w:cstheme="minorHAnsi"/>
        </w:rPr>
        <w:t>Monitoring des quartiers, servic</w:t>
      </w:r>
      <w:r w:rsidR="00992D39" w:rsidRPr="00FB620A">
        <w:rPr>
          <w:rFonts w:cstheme="minorHAnsi"/>
        </w:rPr>
        <w:t xml:space="preserve">e public régional de Bruxelles. </w:t>
      </w:r>
      <w:hyperlink r:id="rId34" w:history="1">
        <w:r w:rsidR="00C45DB6" w:rsidRPr="00FB620A">
          <w:rPr>
            <w:rStyle w:val="Lienhypertexte"/>
            <w:rFonts w:cstheme="minorHAnsi"/>
          </w:rPr>
          <w:t>https://monitoringdesquartiers.brussels/</w:t>
        </w:r>
      </w:hyperlink>
      <w:r w:rsidR="00C45DB6" w:rsidRPr="00FB620A">
        <w:rPr>
          <w:rStyle w:val="Lienhypertexte"/>
          <w:rFonts w:cstheme="minorHAnsi"/>
        </w:rPr>
        <w:br/>
      </w:r>
      <w:r w:rsidR="00C45DB6" w:rsidRPr="00FB620A">
        <w:rPr>
          <w:rStyle w:val="Lienhypertexte"/>
          <w:rFonts w:cstheme="minorHAnsi"/>
        </w:rPr>
        <w:br/>
      </w:r>
      <w:proofErr w:type="spellStart"/>
      <w:r w:rsidR="00C45DB6" w:rsidRPr="00FB620A">
        <w:rPr>
          <w:rFonts w:cstheme="minorHAnsi"/>
        </w:rPr>
        <w:t>Hertogen</w:t>
      </w:r>
      <w:proofErr w:type="spellEnd"/>
      <w:r w:rsidR="00366857" w:rsidRPr="00FB620A">
        <w:rPr>
          <w:rFonts w:cstheme="minorHAnsi"/>
        </w:rPr>
        <w:t xml:space="preserve"> J.</w:t>
      </w:r>
      <w:r w:rsidR="00C45DB6" w:rsidRPr="00FB620A">
        <w:rPr>
          <w:rFonts w:cstheme="minorHAnsi"/>
        </w:rPr>
        <w:t xml:space="preserve"> (</w:t>
      </w:r>
      <w:r w:rsidR="00992D39" w:rsidRPr="00FB620A">
        <w:rPr>
          <w:rFonts w:cstheme="minorHAnsi"/>
        </w:rPr>
        <w:t>2016</w:t>
      </w:r>
      <w:r w:rsidR="00C45DB6" w:rsidRPr="00FB620A">
        <w:rPr>
          <w:rFonts w:cstheme="minorHAnsi"/>
        </w:rPr>
        <w:t xml:space="preserve">) </w:t>
      </w:r>
      <w:r w:rsidR="00992D39" w:rsidRPr="00FB620A">
        <w:rPr>
          <w:rFonts w:cstheme="minorHAnsi"/>
        </w:rPr>
        <w:t>Quantification des</w:t>
      </w:r>
      <w:r w:rsidR="00C45DB6" w:rsidRPr="00FB620A">
        <w:rPr>
          <w:rFonts w:cstheme="minorHAnsi"/>
        </w:rPr>
        <w:t xml:space="preserve"> musulmans en Belgique.</w:t>
      </w:r>
      <w:r w:rsidR="00455D83" w:rsidRPr="00FB620A">
        <w:rPr>
          <w:rFonts w:cstheme="minorHAnsi"/>
        </w:rPr>
        <w:br/>
      </w:r>
      <w:r w:rsidR="00F210B2" w:rsidRPr="00FB620A">
        <w:rPr>
          <w:rFonts w:cstheme="minorHAnsi"/>
        </w:rPr>
        <w:br/>
      </w:r>
      <w:r w:rsidR="00992D39" w:rsidRPr="00FB620A">
        <w:rPr>
          <w:rFonts w:cstheme="minorHAnsi"/>
        </w:rPr>
        <w:t>Mahieu</w:t>
      </w:r>
      <w:r w:rsidR="00366857" w:rsidRPr="00FB620A">
        <w:rPr>
          <w:rFonts w:cstheme="minorHAnsi"/>
        </w:rPr>
        <w:t xml:space="preserve"> V., </w:t>
      </w:r>
      <w:r w:rsidR="00992D39" w:rsidRPr="00FB620A">
        <w:rPr>
          <w:rFonts w:cstheme="minorHAnsi"/>
        </w:rPr>
        <w:t>Ra</w:t>
      </w:r>
      <w:r w:rsidR="00455D83" w:rsidRPr="00FB620A">
        <w:rPr>
          <w:rFonts w:cstheme="minorHAnsi"/>
        </w:rPr>
        <w:t>vier</w:t>
      </w:r>
      <w:r w:rsidR="00366857" w:rsidRPr="00FB620A">
        <w:rPr>
          <w:rFonts w:cstheme="minorHAnsi"/>
        </w:rPr>
        <w:t xml:space="preserve"> I. et </w:t>
      </w:r>
      <w:proofErr w:type="spellStart"/>
      <w:r w:rsidR="00455D83" w:rsidRPr="00FB620A">
        <w:rPr>
          <w:rFonts w:cstheme="minorHAnsi"/>
        </w:rPr>
        <w:t>Vanneste</w:t>
      </w:r>
      <w:proofErr w:type="spellEnd"/>
      <w:r w:rsidR="00366857" w:rsidRPr="00FB620A">
        <w:rPr>
          <w:rFonts w:cstheme="minorHAnsi"/>
        </w:rPr>
        <w:t xml:space="preserve"> C.</w:t>
      </w:r>
      <w:r w:rsidR="00992D39" w:rsidRPr="00FB620A">
        <w:rPr>
          <w:rFonts w:cstheme="minorHAnsi"/>
        </w:rPr>
        <w:t xml:space="preserve"> </w:t>
      </w:r>
      <w:r w:rsidR="00455D83" w:rsidRPr="00FB620A">
        <w:rPr>
          <w:rFonts w:cstheme="minorHAnsi"/>
        </w:rPr>
        <w:t>(2015)</w:t>
      </w:r>
      <w:r w:rsidR="00992D39" w:rsidRPr="00FB620A">
        <w:rPr>
          <w:rFonts w:cstheme="minorHAnsi"/>
        </w:rPr>
        <w:t xml:space="preserve"> </w:t>
      </w:r>
      <w:r w:rsidR="00F210B2" w:rsidRPr="00FB620A">
        <w:rPr>
          <w:rFonts w:cstheme="minorHAnsi"/>
        </w:rPr>
        <w:t>« Vers une image chiffrée de la délinquance enregistrée des jeunes en Région de Bruxelles-Capitale » Recherche réalisée à la demande de l’observatoire bruxellois de la prévention et de la sécurité.</w:t>
      </w:r>
      <w:r w:rsidR="00455D83" w:rsidRPr="00FB620A">
        <w:rPr>
          <w:rFonts w:cstheme="minorHAnsi"/>
        </w:rPr>
        <w:br/>
      </w:r>
      <w:r w:rsidRPr="00FB620A">
        <w:rPr>
          <w:rFonts w:cstheme="minorHAnsi"/>
        </w:rPr>
        <w:br/>
      </w:r>
      <w:proofErr w:type="spellStart"/>
      <w:r w:rsidR="00455D83" w:rsidRPr="00FB620A">
        <w:rPr>
          <w:rFonts w:cstheme="minorHAnsi"/>
        </w:rPr>
        <w:t>Boutsen</w:t>
      </w:r>
      <w:proofErr w:type="spellEnd"/>
      <w:r w:rsidR="00366857" w:rsidRPr="00FB620A">
        <w:rPr>
          <w:rFonts w:cstheme="minorHAnsi"/>
        </w:rPr>
        <w:t xml:space="preserve"> M.</w:t>
      </w:r>
      <w:r w:rsidR="00455D83" w:rsidRPr="00FB620A">
        <w:rPr>
          <w:rFonts w:cstheme="minorHAnsi"/>
        </w:rPr>
        <w:t xml:space="preserve"> (1997) </w:t>
      </w:r>
      <w:r w:rsidR="00055608" w:rsidRPr="00FB620A">
        <w:rPr>
          <w:rFonts w:cstheme="minorHAnsi"/>
        </w:rPr>
        <w:t xml:space="preserve">« Etude de la situation des enfants à Bruxelles » </w:t>
      </w:r>
      <w:r w:rsidR="00055608" w:rsidRPr="00FB620A">
        <w:rPr>
          <w:rFonts w:cstheme="minorHAnsi"/>
        </w:rPr>
        <w:br/>
      </w:r>
      <w:hyperlink r:id="rId35" w:history="1">
        <w:r w:rsidR="00055608" w:rsidRPr="00FB620A">
          <w:rPr>
            <w:rStyle w:val="Lienhypertexte"/>
            <w:rFonts w:cstheme="minorHAnsi"/>
          </w:rPr>
          <w:t>http://www.grandirabruxelles.be/Publications/rapports/11_97/11_97.PDF</w:t>
        </w:r>
      </w:hyperlink>
      <w:r w:rsidR="00455D83" w:rsidRPr="00FB620A">
        <w:rPr>
          <w:rFonts w:cstheme="minorHAnsi"/>
        </w:rPr>
        <w:br/>
      </w:r>
      <w:r w:rsidR="00455D83" w:rsidRPr="00FB620A">
        <w:rPr>
          <w:rFonts w:cstheme="minorHAnsi"/>
        </w:rPr>
        <w:br/>
        <w:t xml:space="preserve">Le Vif l’express (2015) </w:t>
      </w:r>
      <w:r w:rsidR="00DD1907" w:rsidRPr="00FB620A">
        <w:rPr>
          <w:rFonts w:cstheme="minorHAnsi"/>
        </w:rPr>
        <w:t>Espé</w:t>
      </w:r>
      <w:r w:rsidR="00455D83" w:rsidRPr="00FB620A">
        <w:rPr>
          <w:rFonts w:cstheme="minorHAnsi"/>
        </w:rPr>
        <w:t xml:space="preserve">rance de vie dans votre commune. </w:t>
      </w:r>
      <w:r w:rsidR="00DD1907" w:rsidRPr="00FB620A">
        <w:rPr>
          <w:rFonts w:cstheme="minorHAnsi"/>
        </w:rPr>
        <w:t xml:space="preserve">Données sur base d’une étude de l’ULB et le </w:t>
      </w:r>
      <w:proofErr w:type="spellStart"/>
      <w:r w:rsidR="00DD1907" w:rsidRPr="00FB620A">
        <w:rPr>
          <w:rFonts w:cstheme="minorHAnsi"/>
        </w:rPr>
        <w:t>Kuleuven</w:t>
      </w:r>
      <w:proofErr w:type="spellEnd"/>
      <w:r w:rsidR="00DD1907" w:rsidRPr="00FB620A">
        <w:rPr>
          <w:rFonts w:cstheme="minorHAnsi"/>
        </w:rPr>
        <w:t xml:space="preserve">. </w:t>
      </w:r>
      <w:r w:rsidR="00455D83" w:rsidRPr="00FB620A">
        <w:rPr>
          <w:rFonts w:cstheme="minorHAnsi"/>
        </w:rPr>
        <w:br/>
      </w:r>
      <w:r w:rsidR="00455D83" w:rsidRPr="00FB620A">
        <w:rPr>
          <w:rFonts w:cstheme="minorHAnsi"/>
        </w:rPr>
        <w:br/>
      </w:r>
      <w:r w:rsidR="00E268A2" w:rsidRPr="00FB620A">
        <w:rPr>
          <w:rFonts w:cstheme="minorHAnsi"/>
        </w:rPr>
        <w:t>Statistiques fiscales revenus 2015</w:t>
      </w:r>
      <w:r w:rsidR="00686BCD" w:rsidRPr="00FB620A">
        <w:rPr>
          <w:rFonts w:cstheme="minorHAnsi"/>
        </w:rPr>
        <w:t xml:space="preserve"> IBSA</w:t>
      </w:r>
      <w:r w:rsidR="00455D83" w:rsidRPr="00FB620A">
        <w:rPr>
          <w:rFonts w:cstheme="minorHAnsi"/>
        </w:rPr>
        <w:br/>
      </w:r>
      <w:hyperlink r:id="rId36" w:history="1">
        <w:r w:rsidR="00E268A2" w:rsidRPr="00FB620A">
          <w:rPr>
            <w:rStyle w:val="Lienhypertexte"/>
            <w:rFonts w:cstheme="minorHAnsi"/>
          </w:rPr>
          <w:t>http://ibsa.brussels/fichiers/chiffres/2.1_revenus_depenses_menages_statistique_fiscale.xls</w:t>
        </w:r>
      </w:hyperlink>
      <w:r w:rsidR="00455D83" w:rsidRPr="00FB620A">
        <w:rPr>
          <w:rFonts w:cstheme="minorHAnsi"/>
        </w:rPr>
        <w:br/>
      </w:r>
      <w:r w:rsidR="00455D83" w:rsidRPr="00FB620A">
        <w:rPr>
          <w:rFonts w:cstheme="minorHAnsi"/>
        </w:rPr>
        <w:br/>
      </w:r>
      <w:proofErr w:type="spellStart"/>
      <w:r w:rsidR="00455D83" w:rsidRPr="00FB620A">
        <w:rPr>
          <w:rFonts w:cstheme="minorHAnsi"/>
        </w:rPr>
        <w:t>Touzri</w:t>
      </w:r>
      <w:proofErr w:type="spellEnd"/>
      <w:r w:rsidR="00366857" w:rsidRPr="00FB620A">
        <w:rPr>
          <w:rFonts w:cstheme="minorHAnsi"/>
        </w:rPr>
        <w:t xml:space="preserve"> A.</w:t>
      </w:r>
      <w:r w:rsidR="00455D83" w:rsidRPr="00FB620A">
        <w:rPr>
          <w:rFonts w:cstheme="minorHAnsi"/>
        </w:rPr>
        <w:t xml:space="preserve"> (2007) </w:t>
      </w:r>
      <w:r w:rsidR="00DA0C3D" w:rsidRPr="00FB620A">
        <w:rPr>
          <w:rFonts w:cstheme="minorHAnsi"/>
        </w:rPr>
        <w:t xml:space="preserve">« Les minorités issues de l’immigration et les dispositifs de revitalisation urbaine dans la commune bruxelloise de Molenbeek-Saint-Jean » </w:t>
      </w:r>
      <w:r w:rsidR="00DA0C3D" w:rsidRPr="00FB620A">
        <w:rPr>
          <w:rFonts w:cstheme="minorHAnsi"/>
        </w:rPr>
        <w:br/>
      </w:r>
      <w:r w:rsidR="003C3B52" w:rsidRPr="00FB620A">
        <w:rPr>
          <w:rFonts w:cstheme="minorHAnsi"/>
        </w:rPr>
        <w:br/>
      </w:r>
      <w:proofErr w:type="spellStart"/>
      <w:r w:rsidR="00EE695A" w:rsidRPr="00FB620A">
        <w:rPr>
          <w:rFonts w:cstheme="minorHAnsi"/>
        </w:rPr>
        <w:t>Torrekens</w:t>
      </w:r>
      <w:proofErr w:type="spellEnd"/>
      <w:r w:rsidR="00366857" w:rsidRPr="00FB620A">
        <w:rPr>
          <w:rFonts w:cstheme="minorHAnsi"/>
        </w:rPr>
        <w:t xml:space="preserve"> C.</w:t>
      </w:r>
      <w:r w:rsidR="00EE695A" w:rsidRPr="00FB620A">
        <w:rPr>
          <w:rFonts w:cstheme="minorHAnsi"/>
        </w:rPr>
        <w:t xml:space="preserve"> (2007) « Concentration des populations musulmanes et structuration de l’associatif musulman à Bruxelles »</w:t>
      </w:r>
      <w:r w:rsidR="00EE695A" w:rsidRPr="00FB620A">
        <w:rPr>
          <w:rFonts w:cstheme="minorHAnsi"/>
        </w:rPr>
        <w:br/>
      </w:r>
      <w:r w:rsidR="00EE695A" w:rsidRPr="00FB620A">
        <w:rPr>
          <w:rFonts w:cstheme="minorHAnsi"/>
        </w:rPr>
        <w:br/>
      </w:r>
      <w:proofErr w:type="spellStart"/>
      <w:r w:rsidR="00EE695A" w:rsidRPr="00FB620A">
        <w:rPr>
          <w:rFonts w:cstheme="minorHAnsi"/>
        </w:rPr>
        <w:t>Vloeberg</w:t>
      </w:r>
      <w:proofErr w:type="spellEnd"/>
      <w:r w:rsidR="00366857" w:rsidRPr="00FB620A">
        <w:rPr>
          <w:rFonts w:cstheme="minorHAnsi"/>
        </w:rPr>
        <w:t xml:space="preserve"> E.</w:t>
      </w:r>
      <w:r w:rsidR="00EE695A" w:rsidRPr="00FB620A">
        <w:rPr>
          <w:rFonts w:cstheme="minorHAnsi"/>
        </w:rPr>
        <w:t xml:space="preserve"> et </w:t>
      </w:r>
      <w:proofErr w:type="spellStart"/>
      <w:r w:rsidR="00EE695A" w:rsidRPr="00FB620A">
        <w:rPr>
          <w:rFonts w:cstheme="minorHAnsi"/>
        </w:rPr>
        <w:t>Corijn</w:t>
      </w:r>
      <w:proofErr w:type="spellEnd"/>
      <w:r w:rsidR="00366857" w:rsidRPr="00FB620A">
        <w:rPr>
          <w:rFonts w:cstheme="minorHAnsi"/>
        </w:rPr>
        <w:t xml:space="preserve"> E.</w:t>
      </w:r>
      <w:r w:rsidR="00EE695A" w:rsidRPr="00FB620A">
        <w:rPr>
          <w:rFonts w:cstheme="minorHAnsi"/>
        </w:rPr>
        <w:t xml:space="preserve"> (2012) « Où va Bruxelles ? »</w:t>
      </w:r>
      <w:r w:rsidR="00EE695A" w:rsidRPr="00FB620A">
        <w:rPr>
          <w:rFonts w:cstheme="minorHAnsi"/>
        </w:rPr>
        <w:br/>
      </w:r>
      <w:r w:rsidR="00EE695A" w:rsidRPr="00FB620A">
        <w:rPr>
          <w:rFonts w:cstheme="minorHAnsi"/>
        </w:rPr>
        <w:br/>
      </w:r>
      <w:r w:rsidR="00366857" w:rsidRPr="00FB620A">
        <w:rPr>
          <w:rFonts w:cstheme="minorHAnsi"/>
        </w:rPr>
        <w:t>Cossée de Maulde G. (2010) « Musulmans dans la société belge. Pour un vivre ensemble »</w:t>
      </w:r>
      <w:r w:rsidR="00EE695A" w:rsidRPr="00FB620A">
        <w:rPr>
          <w:rFonts w:cstheme="minorHAnsi"/>
        </w:rPr>
        <w:br/>
      </w:r>
      <w:r w:rsidR="00EE695A" w:rsidRPr="00FB620A">
        <w:rPr>
          <w:rFonts w:cstheme="minorHAnsi"/>
        </w:rPr>
        <w:br/>
      </w:r>
      <w:proofErr w:type="spellStart"/>
      <w:r w:rsidR="00EE695A" w:rsidRPr="00FB620A">
        <w:rPr>
          <w:rFonts w:cstheme="minorHAnsi"/>
        </w:rPr>
        <w:t>Torrekens</w:t>
      </w:r>
      <w:proofErr w:type="spellEnd"/>
      <w:r w:rsidR="00EE695A" w:rsidRPr="00FB620A">
        <w:rPr>
          <w:rFonts w:cstheme="minorHAnsi"/>
        </w:rPr>
        <w:t xml:space="preserve"> C. (2005) « L’islam dans la capitale européenne : vers l’émergence d’un islam européen ? », Emigrations et Voyages, vol 1, 1er semestre, pp 47-69.</w:t>
      </w:r>
      <w:r w:rsidR="00EE695A" w:rsidRPr="00CD4082">
        <w:rPr>
          <w:rFonts w:cstheme="minorHAnsi"/>
        </w:rPr>
        <w:br/>
      </w:r>
      <w:r w:rsidR="00EE695A" w:rsidRPr="00CD4082">
        <w:rPr>
          <w:rFonts w:cstheme="minorHAnsi"/>
        </w:rPr>
        <w:br/>
      </w:r>
      <w:r w:rsidR="00EE695A" w:rsidRPr="00FB620A">
        <w:rPr>
          <w:rFonts w:cstheme="minorHAnsi"/>
          <w:lang w:val="en-US"/>
        </w:rPr>
        <w:t>Nielsen</w:t>
      </w:r>
      <w:r w:rsidR="00366857" w:rsidRPr="00FB620A">
        <w:rPr>
          <w:rFonts w:cstheme="minorHAnsi"/>
          <w:lang w:val="en-US"/>
        </w:rPr>
        <w:t xml:space="preserve"> J.</w:t>
      </w:r>
      <w:r w:rsidR="00EE695A" w:rsidRPr="00FB620A">
        <w:rPr>
          <w:rFonts w:cstheme="minorHAnsi"/>
          <w:lang w:val="en-US"/>
        </w:rPr>
        <w:t xml:space="preserve"> (2004</w:t>
      </w:r>
      <w:r w:rsidR="00366857" w:rsidRPr="00FB620A">
        <w:rPr>
          <w:rFonts w:cstheme="minorHAnsi"/>
          <w:lang w:val="en-US"/>
        </w:rPr>
        <w:t xml:space="preserve"> 3ème edition</w:t>
      </w:r>
      <w:r w:rsidR="00EE695A" w:rsidRPr="00FB620A">
        <w:rPr>
          <w:rFonts w:cstheme="minorHAnsi"/>
          <w:lang w:val="en-US"/>
        </w:rPr>
        <w:t>) “</w:t>
      </w:r>
      <w:r w:rsidR="0005745A" w:rsidRPr="00FB620A">
        <w:rPr>
          <w:rFonts w:cstheme="minorHAnsi"/>
          <w:lang w:val="en-US"/>
        </w:rPr>
        <w:t xml:space="preserve">Muslims is </w:t>
      </w:r>
      <w:r w:rsidR="00366857" w:rsidRPr="00FB620A">
        <w:rPr>
          <w:rFonts w:cstheme="minorHAnsi"/>
          <w:lang w:val="en-US"/>
        </w:rPr>
        <w:t>western</w:t>
      </w:r>
      <w:r w:rsidR="0005745A" w:rsidRPr="00FB620A">
        <w:rPr>
          <w:rFonts w:cstheme="minorHAnsi"/>
          <w:lang w:val="en-US"/>
        </w:rPr>
        <w:t xml:space="preserve"> </w:t>
      </w:r>
      <w:r w:rsidR="00EE695A" w:rsidRPr="00FB620A">
        <w:rPr>
          <w:rFonts w:cstheme="minorHAnsi"/>
          <w:lang w:val="en-US"/>
        </w:rPr>
        <w:t>Europe”</w:t>
      </w:r>
      <w:r w:rsidR="00157077" w:rsidRPr="00FB620A">
        <w:rPr>
          <w:rFonts w:cstheme="minorHAnsi"/>
          <w:lang w:val="en-US"/>
        </w:rPr>
        <w:br/>
      </w:r>
      <w:r w:rsidR="00157077" w:rsidRPr="00FB620A">
        <w:rPr>
          <w:rFonts w:cstheme="minorHAnsi"/>
          <w:lang w:val="en-US"/>
        </w:rPr>
        <w:br/>
      </w:r>
      <w:proofErr w:type="spellStart"/>
      <w:r w:rsidR="00157077" w:rsidRPr="00FB620A">
        <w:rPr>
          <w:rFonts w:cstheme="minorHAnsi"/>
          <w:lang w:val="en-US"/>
        </w:rPr>
        <w:t>Sailer</w:t>
      </w:r>
      <w:proofErr w:type="spellEnd"/>
      <w:r w:rsidR="00157077" w:rsidRPr="00FB620A">
        <w:rPr>
          <w:rFonts w:cstheme="minorHAnsi"/>
          <w:lang w:val="en-US"/>
        </w:rPr>
        <w:t xml:space="preserve"> S. (2015) Why Does Belgium Have Such Angry Muslims?</w:t>
      </w:r>
      <w:r w:rsidR="00157077" w:rsidRPr="00FB620A">
        <w:rPr>
          <w:rFonts w:cstheme="minorHAnsi"/>
          <w:lang w:val="en-US"/>
        </w:rPr>
        <w:br/>
      </w:r>
      <w:hyperlink r:id="rId37" w:history="1">
        <w:r w:rsidR="00157077" w:rsidRPr="00FB620A">
          <w:rPr>
            <w:rStyle w:val="Lienhypertexte"/>
            <w:rFonts w:cstheme="minorHAnsi"/>
          </w:rPr>
          <w:t>http://www.unz.com/isteve/why-does-belgium-have-such-angry-muslims/</w:t>
        </w:r>
      </w:hyperlink>
    </w:p>
    <w:p w14:paraId="62C0B91A" w14:textId="118B400E" w:rsidR="00680DB4" w:rsidRPr="00FB620A" w:rsidRDefault="0035156C" w:rsidP="00680DB4">
      <w:pPr>
        <w:rPr>
          <w:rFonts w:cstheme="minorHAnsi"/>
        </w:rPr>
      </w:pPr>
      <w:hyperlink r:id="rId38" w:history="1">
        <w:r w:rsidR="00F35AC5" w:rsidRPr="00FB620A">
          <w:rPr>
            <w:rStyle w:val="Lienhypertexte"/>
            <w:rFonts w:cstheme="minorHAnsi"/>
          </w:rPr>
          <w:t>http://www.lesoir.be/1106186/article/actualite/belgique/2016-01-28/75-des-francophones-revendiquent-une-identite-religieuse</w:t>
        </w:r>
      </w:hyperlink>
      <w:r w:rsidR="00F35AC5" w:rsidRPr="00FB620A">
        <w:rPr>
          <w:rFonts w:cstheme="minorHAnsi"/>
        </w:rPr>
        <w:br/>
      </w:r>
    </w:p>
    <w:p w14:paraId="168A079E" w14:textId="77777777" w:rsidR="00680DB4" w:rsidRPr="00FB620A" w:rsidRDefault="00680DB4" w:rsidP="00680DB4">
      <w:pPr>
        <w:rPr>
          <w:rFonts w:cstheme="minorHAnsi"/>
          <w:lang w:val="en-US"/>
        </w:rPr>
      </w:pPr>
      <w:proofErr w:type="spellStart"/>
      <w:r w:rsidRPr="00FB620A">
        <w:rPr>
          <w:rFonts w:cstheme="minorHAnsi"/>
          <w:lang w:val="en-US"/>
        </w:rPr>
        <w:lastRenderedPageBreak/>
        <w:t>Kingma</w:t>
      </w:r>
      <w:proofErr w:type="spellEnd"/>
      <w:r w:rsidRPr="00FB620A">
        <w:rPr>
          <w:rFonts w:cstheme="minorHAnsi"/>
          <w:lang w:val="en-US"/>
        </w:rPr>
        <w:t xml:space="preserve"> E.M., De </w:t>
      </w:r>
      <w:proofErr w:type="spellStart"/>
      <w:r w:rsidRPr="00FB620A">
        <w:rPr>
          <w:rFonts w:cstheme="minorHAnsi"/>
          <w:lang w:val="en-US"/>
        </w:rPr>
        <w:t>Jonge</w:t>
      </w:r>
      <w:proofErr w:type="spellEnd"/>
      <w:r w:rsidRPr="00FB620A">
        <w:rPr>
          <w:rFonts w:cstheme="minorHAnsi"/>
          <w:lang w:val="en-US"/>
        </w:rPr>
        <w:t xml:space="preserve"> P., Van der </w:t>
      </w:r>
      <w:proofErr w:type="spellStart"/>
      <w:r w:rsidRPr="00FB620A">
        <w:rPr>
          <w:rFonts w:cstheme="minorHAnsi"/>
          <w:lang w:val="en-US"/>
        </w:rPr>
        <w:t>Harst</w:t>
      </w:r>
      <w:proofErr w:type="spellEnd"/>
      <w:r w:rsidRPr="00FB620A">
        <w:rPr>
          <w:rFonts w:cstheme="minorHAnsi"/>
          <w:lang w:val="en-US"/>
        </w:rPr>
        <w:t xml:space="preserve"> P., </w:t>
      </w:r>
      <w:proofErr w:type="spellStart"/>
      <w:r w:rsidRPr="00FB620A">
        <w:rPr>
          <w:rFonts w:cstheme="minorHAnsi"/>
          <w:lang w:val="en-US"/>
        </w:rPr>
        <w:t>Ormel</w:t>
      </w:r>
      <w:proofErr w:type="spellEnd"/>
      <w:r w:rsidRPr="00FB620A">
        <w:rPr>
          <w:rFonts w:cstheme="minorHAnsi"/>
          <w:lang w:val="en-US"/>
        </w:rPr>
        <w:t xml:space="preserve"> J. and </w:t>
      </w:r>
      <w:proofErr w:type="spellStart"/>
      <w:r w:rsidRPr="00FB620A">
        <w:rPr>
          <w:rFonts w:cstheme="minorHAnsi"/>
          <w:lang w:val="en-US"/>
        </w:rPr>
        <w:t>Rosmalen</w:t>
      </w:r>
      <w:proofErr w:type="spellEnd"/>
      <w:r w:rsidRPr="00FB620A">
        <w:rPr>
          <w:rFonts w:cstheme="minorHAnsi"/>
          <w:lang w:val="en-US"/>
        </w:rPr>
        <w:t xml:space="preserve"> J.G.M. (2012) The association between intelligence and telomere length: A longitudinal </w:t>
      </w:r>
      <w:proofErr w:type="gramStart"/>
      <w:r w:rsidRPr="00FB620A">
        <w:rPr>
          <w:rFonts w:cstheme="minorHAnsi"/>
          <w:lang w:val="en-US"/>
        </w:rPr>
        <w:t>population based</w:t>
      </w:r>
      <w:proofErr w:type="gramEnd"/>
      <w:r w:rsidRPr="00FB620A">
        <w:rPr>
          <w:rFonts w:cstheme="minorHAnsi"/>
          <w:lang w:val="en-US"/>
        </w:rPr>
        <w:t xml:space="preserve"> study </w:t>
      </w:r>
      <w:proofErr w:type="spellStart"/>
      <w:r w:rsidRPr="00FB620A">
        <w:rPr>
          <w:rFonts w:cstheme="minorHAnsi"/>
          <w:lang w:val="en-US"/>
        </w:rPr>
        <w:t>PLoS</w:t>
      </w:r>
      <w:proofErr w:type="spellEnd"/>
      <w:r w:rsidRPr="00FB620A">
        <w:rPr>
          <w:rFonts w:cstheme="minorHAnsi"/>
          <w:lang w:val="en-US"/>
        </w:rPr>
        <w:t xml:space="preserve"> One. 7(11): e49356.</w:t>
      </w:r>
    </w:p>
    <w:p w14:paraId="485304D3" w14:textId="77777777" w:rsidR="00680DB4" w:rsidRPr="00FB620A" w:rsidRDefault="00680DB4" w:rsidP="00680DB4">
      <w:pPr>
        <w:rPr>
          <w:rFonts w:cstheme="minorHAnsi"/>
          <w:lang w:val="en-US"/>
        </w:rPr>
      </w:pPr>
      <w:r w:rsidRPr="00FB620A">
        <w:rPr>
          <w:rFonts w:cstheme="minorHAnsi"/>
          <w:lang w:val="en-US"/>
        </w:rPr>
        <w:t xml:space="preserve">Valdes A.M., Deary I.J., Gardner J., Kimura M., Lu X., Spector T.D., Aviv A. and </w:t>
      </w:r>
      <w:proofErr w:type="spellStart"/>
      <w:r w:rsidRPr="00FB620A">
        <w:rPr>
          <w:rFonts w:cstheme="minorHAnsi"/>
          <w:lang w:val="en-US"/>
        </w:rPr>
        <w:t>Cherkas</w:t>
      </w:r>
      <w:proofErr w:type="spellEnd"/>
      <w:r w:rsidRPr="00FB620A">
        <w:rPr>
          <w:rFonts w:cstheme="minorHAnsi"/>
          <w:lang w:val="en-US"/>
        </w:rPr>
        <w:t xml:space="preserve"> L.F., (2010) Leukocyte telomere length is associated with cognitive performance in healthy women, </w:t>
      </w:r>
      <w:proofErr w:type="spellStart"/>
      <w:r w:rsidRPr="00FB620A">
        <w:rPr>
          <w:rFonts w:cstheme="minorHAnsi"/>
          <w:lang w:val="en-US"/>
        </w:rPr>
        <w:t>Neurobiol</w:t>
      </w:r>
      <w:proofErr w:type="spellEnd"/>
      <w:r w:rsidRPr="00FB620A">
        <w:rPr>
          <w:rFonts w:cstheme="minorHAnsi"/>
          <w:lang w:val="en-US"/>
        </w:rPr>
        <w:t xml:space="preserve"> Aging. 31(6): 986–992.</w:t>
      </w:r>
    </w:p>
    <w:p w14:paraId="73663B90" w14:textId="77777777" w:rsidR="00835530" w:rsidRPr="00A27B95" w:rsidRDefault="00680DB4" w:rsidP="00835530">
      <w:pPr>
        <w:rPr>
          <w:rFonts w:cstheme="minorHAnsi"/>
          <w:sz w:val="20"/>
          <w:szCs w:val="20"/>
          <w:lang w:val="en-US"/>
        </w:rPr>
      </w:pPr>
      <w:proofErr w:type="spellStart"/>
      <w:r w:rsidRPr="00FB620A">
        <w:rPr>
          <w:rFonts w:cstheme="minorHAnsi"/>
          <w:lang w:val="nl-NL"/>
        </w:rPr>
        <w:t>Schaefer</w:t>
      </w:r>
      <w:proofErr w:type="spellEnd"/>
      <w:r w:rsidRPr="00FB620A">
        <w:rPr>
          <w:rFonts w:cstheme="minorHAnsi"/>
          <w:lang w:val="nl-NL"/>
        </w:rPr>
        <w:t xml:space="preserve"> J.D.  et al. </w:t>
      </w:r>
      <w:r w:rsidRPr="00FB620A">
        <w:rPr>
          <w:rFonts w:cstheme="minorHAnsi"/>
          <w:lang w:val="en-US"/>
        </w:rPr>
        <w:t>(2016) Early-life intelligence predicts midlife biological age. The Journals of Gerontology: Series B, Volume 71, Issue 6, 17 Pages 968–977,</w:t>
      </w:r>
      <w:r w:rsidR="00FB620A" w:rsidRPr="00FB620A">
        <w:rPr>
          <w:rFonts w:cstheme="minorHAnsi"/>
          <w:lang w:val="en-US"/>
        </w:rPr>
        <w:br/>
      </w:r>
      <w:r w:rsidR="00FB620A" w:rsidRPr="00FB620A">
        <w:rPr>
          <w:rFonts w:cstheme="minorHAnsi"/>
          <w:lang w:val="en-US"/>
        </w:rPr>
        <w:br/>
      </w:r>
      <w:hyperlink r:id="rId39" w:history="1">
        <w:r w:rsidR="00FB620A" w:rsidRPr="00FB620A">
          <w:rPr>
            <w:rStyle w:val="Lienhypertexte"/>
            <w:rFonts w:eastAsia="Times New Roman" w:cstheme="minorHAnsi"/>
            <w:lang w:val="en-US" w:eastAsia="fr-BE"/>
          </w:rPr>
          <w:t>http://www.sudinfo.be/726092/article/actualite/belgique/2013-05-17/45-des-detenus-des-prisons-belges-sont-de-confession-musulmane</w:t>
        </w:r>
      </w:hyperlink>
      <w:r w:rsidR="00835530">
        <w:rPr>
          <w:rStyle w:val="Lienhypertexte"/>
          <w:rFonts w:eastAsia="Times New Roman" w:cstheme="minorHAnsi"/>
          <w:lang w:val="en-US" w:eastAsia="fr-BE"/>
        </w:rPr>
        <w:br/>
      </w:r>
      <w:r w:rsidR="00835530">
        <w:rPr>
          <w:rStyle w:val="Lienhypertexte"/>
          <w:rFonts w:eastAsia="Times New Roman" w:cstheme="minorHAnsi"/>
          <w:lang w:val="en-US" w:eastAsia="fr-BE"/>
        </w:rPr>
        <w:br/>
      </w:r>
      <w:proofErr w:type="spellStart"/>
      <w:r w:rsidR="00835530" w:rsidRPr="00A27B95">
        <w:rPr>
          <w:rFonts w:cstheme="minorHAnsi"/>
          <w:sz w:val="20"/>
          <w:szCs w:val="20"/>
          <w:lang w:val="en-US"/>
        </w:rPr>
        <w:t>Kirkegaard</w:t>
      </w:r>
      <w:proofErr w:type="spellEnd"/>
      <w:r w:rsidR="00835530" w:rsidRPr="00A27B95">
        <w:rPr>
          <w:rFonts w:cstheme="minorHAnsi"/>
          <w:sz w:val="20"/>
          <w:szCs w:val="20"/>
          <w:lang w:val="en-US"/>
        </w:rPr>
        <w:t xml:space="preserve"> et Dumoulin (2020) ”</w:t>
      </w:r>
      <w:hyperlink r:id="rId40" w:history="1">
        <w:r w:rsidR="00835530" w:rsidRPr="00A27B95">
          <w:rPr>
            <w:rStyle w:val="Lienhypertexte"/>
            <w:rFonts w:cstheme="minorHAnsi"/>
            <w:sz w:val="20"/>
            <w:szCs w:val="20"/>
            <w:lang w:val="en-US"/>
          </w:rPr>
          <w:t>What Happened to Brussels? The Big Decline and Muslim Immigration</w:t>
        </w:r>
      </w:hyperlink>
      <w:r w:rsidR="00835530" w:rsidRPr="00A27B95">
        <w:rPr>
          <w:rFonts w:cstheme="minorHAnsi"/>
          <w:sz w:val="20"/>
          <w:szCs w:val="20"/>
          <w:lang w:val="en-US"/>
        </w:rPr>
        <w:t>” Mankind Quarterly 61(2):293-323</w:t>
      </w:r>
    </w:p>
    <w:p w14:paraId="7F3048E9" w14:textId="5527C977" w:rsidR="003622D5" w:rsidRPr="0035156C" w:rsidRDefault="00835530" w:rsidP="00B85D01">
      <w:pPr>
        <w:rPr>
          <w:rFonts w:eastAsia="Times New Roman" w:cstheme="minorHAnsi"/>
          <w:color w:val="000000"/>
          <w:sz w:val="28"/>
          <w:szCs w:val="28"/>
          <w:lang w:val="en-US" w:eastAsia="fr-BE"/>
        </w:rPr>
      </w:pPr>
      <w:r w:rsidRPr="00782030">
        <w:rPr>
          <w:rStyle w:val="Lienhypertexte"/>
          <w:rFonts w:cstheme="minorHAnsi"/>
          <w:sz w:val="20"/>
          <w:szCs w:val="20"/>
          <w:lang w:val="en-US"/>
        </w:rPr>
        <w:t>The left-liberal skew of Western media</w:t>
      </w:r>
      <w:r>
        <w:rPr>
          <w:rStyle w:val="Lienhypertexte"/>
          <w:rFonts w:cstheme="minorHAnsi"/>
          <w:sz w:val="20"/>
          <w:szCs w:val="20"/>
          <w:lang w:val="en-US"/>
        </w:rPr>
        <w:t xml:space="preserve">, </w:t>
      </w:r>
      <w:proofErr w:type="spellStart"/>
      <w:r>
        <w:rPr>
          <w:rStyle w:val="Lienhypertexte"/>
          <w:rFonts w:cstheme="minorHAnsi"/>
          <w:sz w:val="20"/>
          <w:szCs w:val="20"/>
          <w:lang w:val="en-US"/>
        </w:rPr>
        <w:t>Kirkegaard</w:t>
      </w:r>
      <w:proofErr w:type="spellEnd"/>
      <w:r>
        <w:rPr>
          <w:rStyle w:val="Lienhypertexte"/>
          <w:rFonts w:cstheme="minorHAnsi"/>
          <w:sz w:val="20"/>
          <w:szCs w:val="20"/>
          <w:lang w:val="en-US"/>
        </w:rPr>
        <w:t xml:space="preserve"> (2021)</w:t>
      </w:r>
    </w:p>
    <w:sectPr w:rsidR="003622D5" w:rsidRPr="00351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B5FF" w14:textId="77777777" w:rsidR="0017412E" w:rsidRDefault="0017412E" w:rsidP="008F2C93">
      <w:pPr>
        <w:spacing w:after="0" w:line="240" w:lineRule="auto"/>
      </w:pPr>
      <w:r>
        <w:separator/>
      </w:r>
    </w:p>
  </w:endnote>
  <w:endnote w:type="continuationSeparator" w:id="0">
    <w:p w14:paraId="6349E4EC" w14:textId="77777777" w:rsidR="0017412E" w:rsidRDefault="0017412E" w:rsidP="008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3A3F" w14:textId="77777777" w:rsidR="0017412E" w:rsidRDefault="0017412E" w:rsidP="008F2C93">
      <w:pPr>
        <w:spacing w:after="0" w:line="240" w:lineRule="auto"/>
      </w:pPr>
      <w:r>
        <w:separator/>
      </w:r>
    </w:p>
  </w:footnote>
  <w:footnote w:type="continuationSeparator" w:id="0">
    <w:p w14:paraId="50768C2C" w14:textId="77777777" w:rsidR="0017412E" w:rsidRDefault="0017412E" w:rsidP="008F2C93">
      <w:pPr>
        <w:spacing w:after="0" w:line="240" w:lineRule="auto"/>
      </w:pPr>
      <w:r>
        <w:continuationSeparator/>
      </w:r>
    </w:p>
  </w:footnote>
  <w:footnote w:id="1">
    <w:p w14:paraId="75B49519" w14:textId="77777777" w:rsidR="004C1642" w:rsidRPr="00344DCC" w:rsidRDefault="004C1642" w:rsidP="004C1642">
      <w:pPr>
        <w:pStyle w:val="Notedebasdepage"/>
        <w:rPr>
          <w:lang w:val="en-US"/>
        </w:rPr>
      </w:pPr>
      <w:r>
        <w:rPr>
          <w:rStyle w:val="Appelnotedebasdep"/>
        </w:rPr>
        <w:footnoteRef/>
      </w:r>
      <w:r w:rsidRPr="00344DCC">
        <w:rPr>
          <w:lang w:val="en-US"/>
        </w:rPr>
        <w:t xml:space="preserve"> </w:t>
      </w:r>
      <w:r>
        <w:rPr>
          <w:lang w:val="en-US"/>
        </w:rPr>
        <w:t xml:space="preserve">General humanities prepare for university or high school, while technical or professional humanities directly teach for less cognitively demanding jobs.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50A9"/>
    <w:multiLevelType w:val="hybridMultilevel"/>
    <w:tmpl w:val="52CE2B9C"/>
    <w:lvl w:ilvl="0" w:tplc="5832D11A">
      <w:start w:val="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1031BE"/>
    <w:multiLevelType w:val="multilevel"/>
    <w:tmpl w:val="E7B8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9176C"/>
    <w:multiLevelType w:val="hybridMultilevel"/>
    <w:tmpl w:val="8D0A5450"/>
    <w:lvl w:ilvl="0" w:tplc="A43C09D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C"/>
    <w:rsid w:val="00042CBB"/>
    <w:rsid w:val="000529EF"/>
    <w:rsid w:val="00055608"/>
    <w:rsid w:val="00056C1A"/>
    <w:rsid w:val="0005745A"/>
    <w:rsid w:val="000603FF"/>
    <w:rsid w:val="00075C9D"/>
    <w:rsid w:val="00094E06"/>
    <w:rsid w:val="000D6A4C"/>
    <w:rsid w:val="000E6154"/>
    <w:rsid w:val="00126224"/>
    <w:rsid w:val="00137096"/>
    <w:rsid w:val="00157077"/>
    <w:rsid w:val="00171E30"/>
    <w:rsid w:val="001720EB"/>
    <w:rsid w:val="0017412E"/>
    <w:rsid w:val="001B1D51"/>
    <w:rsid w:val="001D21EE"/>
    <w:rsid w:val="001D5F79"/>
    <w:rsid w:val="001E48C6"/>
    <w:rsid w:val="00204E4A"/>
    <w:rsid w:val="00216F6C"/>
    <w:rsid w:val="00231755"/>
    <w:rsid w:val="002329BE"/>
    <w:rsid w:val="00246428"/>
    <w:rsid w:val="0025297E"/>
    <w:rsid w:val="0025339D"/>
    <w:rsid w:val="00257A69"/>
    <w:rsid w:val="00261206"/>
    <w:rsid w:val="00273FBE"/>
    <w:rsid w:val="0028229F"/>
    <w:rsid w:val="002937CC"/>
    <w:rsid w:val="002A6270"/>
    <w:rsid w:val="002D07A1"/>
    <w:rsid w:val="002F15AF"/>
    <w:rsid w:val="00325EDE"/>
    <w:rsid w:val="003370FB"/>
    <w:rsid w:val="00347519"/>
    <w:rsid w:val="0035156C"/>
    <w:rsid w:val="003622D5"/>
    <w:rsid w:val="00366857"/>
    <w:rsid w:val="003C3B52"/>
    <w:rsid w:val="003E41B4"/>
    <w:rsid w:val="003F0F20"/>
    <w:rsid w:val="00405583"/>
    <w:rsid w:val="004254BA"/>
    <w:rsid w:val="00455D83"/>
    <w:rsid w:val="00464947"/>
    <w:rsid w:val="004862AC"/>
    <w:rsid w:val="004A79C3"/>
    <w:rsid w:val="004B74D6"/>
    <w:rsid w:val="004C1642"/>
    <w:rsid w:val="004C23AE"/>
    <w:rsid w:val="004F754F"/>
    <w:rsid w:val="0050205C"/>
    <w:rsid w:val="00521C7A"/>
    <w:rsid w:val="0055435F"/>
    <w:rsid w:val="005577D4"/>
    <w:rsid w:val="00562BDB"/>
    <w:rsid w:val="005630ED"/>
    <w:rsid w:val="00597741"/>
    <w:rsid w:val="005D196F"/>
    <w:rsid w:val="005E36D6"/>
    <w:rsid w:val="005F0D00"/>
    <w:rsid w:val="005F722F"/>
    <w:rsid w:val="00612D25"/>
    <w:rsid w:val="00612F41"/>
    <w:rsid w:val="0062602C"/>
    <w:rsid w:val="00633C04"/>
    <w:rsid w:val="00642286"/>
    <w:rsid w:val="00645ABA"/>
    <w:rsid w:val="006501EF"/>
    <w:rsid w:val="006620E2"/>
    <w:rsid w:val="00680DB4"/>
    <w:rsid w:val="0068365C"/>
    <w:rsid w:val="00685724"/>
    <w:rsid w:val="00686BCD"/>
    <w:rsid w:val="006E201A"/>
    <w:rsid w:val="00752E6A"/>
    <w:rsid w:val="0075675D"/>
    <w:rsid w:val="007664C4"/>
    <w:rsid w:val="0078062F"/>
    <w:rsid w:val="007A5558"/>
    <w:rsid w:val="007B2A4A"/>
    <w:rsid w:val="007C0F2D"/>
    <w:rsid w:val="007C2B2F"/>
    <w:rsid w:val="007C366C"/>
    <w:rsid w:val="007E425E"/>
    <w:rsid w:val="00835530"/>
    <w:rsid w:val="00850896"/>
    <w:rsid w:val="00860120"/>
    <w:rsid w:val="008602C6"/>
    <w:rsid w:val="00865D16"/>
    <w:rsid w:val="00865DD7"/>
    <w:rsid w:val="008B406A"/>
    <w:rsid w:val="008B4661"/>
    <w:rsid w:val="008E2AEE"/>
    <w:rsid w:val="008E4CB7"/>
    <w:rsid w:val="008F2C93"/>
    <w:rsid w:val="008F4ADE"/>
    <w:rsid w:val="00931A96"/>
    <w:rsid w:val="00934DEA"/>
    <w:rsid w:val="00935CD4"/>
    <w:rsid w:val="00946FDE"/>
    <w:rsid w:val="00992D39"/>
    <w:rsid w:val="009B244B"/>
    <w:rsid w:val="009B4F5A"/>
    <w:rsid w:val="009D3BBB"/>
    <w:rsid w:val="00A16B18"/>
    <w:rsid w:val="00A17E20"/>
    <w:rsid w:val="00A53BC7"/>
    <w:rsid w:val="00A66165"/>
    <w:rsid w:val="00A91670"/>
    <w:rsid w:val="00AB54B7"/>
    <w:rsid w:val="00AD6EA3"/>
    <w:rsid w:val="00AF475F"/>
    <w:rsid w:val="00B00291"/>
    <w:rsid w:val="00B0251A"/>
    <w:rsid w:val="00B46979"/>
    <w:rsid w:val="00B62464"/>
    <w:rsid w:val="00B85183"/>
    <w:rsid w:val="00B85D01"/>
    <w:rsid w:val="00BF564F"/>
    <w:rsid w:val="00BF6B44"/>
    <w:rsid w:val="00C16D17"/>
    <w:rsid w:val="00C45DB6"/>
    <w:rsid w:val="00C55A04"/>
    <w:rsid w:val="00C62464"/>
    <w:rsid w:val="00C87E3F"/>
    <w:rsid w:val="00CB0BE7"/>
    <w:rsid w:val="00CB7448"/>
    <w:rsid w:val="00CD4082"/>
    <w:rsid w:val="00CF44CF"/>
    <w:rsid w:val="00CF561D"/>
    <w:rsid w:val="00D41E1A"/>
    <w:rsid w:val="00D542DC"/>
    <w:rsid w:val="00D72BE6"/>
    <w:rsid w:val="00D831EF"/>
    <w:rsid w:val="00D95366"/>
    <w:rsid w:val="00DA0C3D"/>
    <w:rsid w:val="00DB72F9"/>
    <w:rsid w:val="00DD1907"/>
    <w:rsid w:val="00DD57EB"/>
    <w:rsid w:val="00E12DDF"/>
    <w:rsid w:val="00E268A2"/>
    <w:rsid w:val="00E319EC"/>
    <w:rsid w:val="00E55CEB"/>
    <w:rsid w:val="00E87E14"/>
    <w:rsid w:val="00EB2BAD"/>
    <w:rsid w:val="00EC3693"/>
    <w:rsid w:val="00EE147C"/>
    <w:rsid w:val="00EE695A"/>
    <w:rsid w:val="00EF4F3A"/>
    <w:rsid w:val="00F0599F"/>
    <w:rsid w:val="00F127A7"/>
    <w:rsid w:val="00F210B2"/>
    <w:rsid w:val="00F35AC5"/>
    <w:rsid w:val="00F41FD9"/>
    <w:rsid w:val="00F669F2"/>
    <w:rsid w:val="00F71996"/>
    <w:rsid w:val="00F82CF5"/>
    <w:rsid w:val="00FB1375"/>
    <w:rsid w:val="00FB620A"/>
    <w:rsid w:val="00FE0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E80A"/>
  <w15:docId w15:val="{DA9C7884-39E9-4A9C-9BB5-91647653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3">
    <w:name w:val="Medium Shading 2 Accent 3"/>
    <w:basedOn w:val="TableauNormal"/>
    <w:uiPriority w:val="64"/>
    <w:rsid w:val="00486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3">
    <w:name w:val="Medium Shading 1 Accent 3"/>
    <w:basedOn w:val="TableauNormal"/>
    <w:uiPriority w:val="63"/>
    <w:rsid w:val="00171E3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0E6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154"/>
    <w:rPr>
      <w:rFonts w:ascii="Tahoma" w:hAnsi="Tahoma" w:cs="Tahoma"/>
      <w:sz w:val="16"/>
      <w:szCs w:val="16"/>
    </w:rPr>
  </w:style>
  <w:style w:type="character" w:styleId="Lienhypertexte">
    <w:name w:val="Hyperlink"/>
    <w:basedOn w:val="Policepardfaut"/>
    <w:unhideWhenUsed/>
    <w:rsid w:val="00EE147C"/>
    <w:rPr>
      <w:color w:val="0000FF" w:themeColor="hyperlink"/>
      <w:u w:val="single"/>
    </w:rPr>
  </w:style>
  <w:style w:type="table" w:styleId="Listeclaire-Accent3">
    <w:name w:val="Light List Accent 3"/>
    <w:basedOn w:val="TableauNormal"/>
    <w:uiPriority w:val="61"/>
    <w:rsid w:val="005E36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aragraphedeliste">
    <w:name w:val="List Paragraph"/>
    <w:basedOn w:val="Normal"/>
    <w:uiPriority w:val="34"/>
    <w:qFormat/>
    <w:rsid w:val="00A53BC7"/>
    <w:pPr>
      <w:ind w:left="720"/>
      <w:contextualSpacing/>
    </w:pPr>
  </w:style>
  <w:style w:type="character" w:styleId="Lienhypertextesuivivisit">
    <w:name w:val="FollowedHyperlink"/>
    <w:basedOn w:val="Policepardfaut"/>
    <w:uiPriority w:val="99"/>
    <w:semiHidden/>
    <w:unhideWhenUsed/>
    <w:rsid w:val="00E268A2"/>
    <w:rPr>
      <w:color w:val="800080" w:themeColor="followedHyperlink"/>
      <w:u w:val="single"/>
    </w:rPr>
  </w:style>
  <w:style w:type="table" w:styleId="Listemoyenne1-Accent3">
    <w:name w:val="Medium List 1 Accent 3"/>
    <w:basedOn w:val="TableauNormal"/>
    <w:uiPriority w:val="65"/>
    <w:rsid w:val="00612F4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Trameclaire-Accent3">
    <w:name w:val="Light Shading Accent 3"/>
    <w:basedOn w:val="TableauNormal"/>
    <w:uiPriority w:val="60"/>
    <w:rsid w:val="0062602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CF561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CF561D"/>
  </w:style>
  <w:style w:type="character" w:customStyle="1" w:styleId="NotedebasdepageCar">
    <w:name w:val="Note de bas de page Car"/>
    <w:basedOn w:val="Policepardfaut"/>
    <w:link w:val="Notedebasdepage"/>
    <w:uiPriority w:val="99"/>
    <w:semiHidden/>
    <w:rsid w:val="008F2C93"/>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8F2C93"/>
    <w:pPr>
      <w:spacing w:after="0" w:line="240" w:lineRule="auto"/>
    </w:pPr>
    <w:rPr>
      <w:rFonts w:ascii="Calibri" w:eastAsia="Calibri" w:hAnsi="Calibri" w:cs="Times New Roman"/>
      <w:sz w:val="20"/>
      <w:szCs w:val="20"/>
    </w:rPr>
  </w:style>
  <w:style w:type="character" w:styleId="Appelnotedebasdep">
    <w:name w:val="footnote reference"/>
    <w:uiPriority w:val="99"/>
    <w:semiHidden/>
    <w:unhideWhenUsed/>
    <w:rsid w:val="008F2C93"/>
    <w:rPr>
      <w:vertAlign w:val="superscript"/>
    </w:rPr>
  </w:style>
  <w:style w:type="table" w:styleId="Tableausimple2">
    <w:name w:val="Plain Table 2"/>
    <w:basedOn w:val="TableauNormal"/>
    <w:uiPriority w:val="42"/>
    <w:rsid w:val="001B1D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72">
      <w:bodyDiv w:val="1"/>
      <w:marLeft w:val="0"/>
      <w:marRight w:val="0"/>
      <w:marTop w:val="0"/>
      <w:marBottom w:val="0"/>
      <w:divBdr>
        <w:top w:val="none" w:sz="0" w:space="0" w:color="auto"/>
        <w:left w:val="none" w:sz="0" w:space="0" w:color="auto"/>
        <w:bottom w:val="none" w:sz="0" w:space="0" w:color="auto"/>
        <w:right w:val="none" w:sz="0" w:space="0" w:color="auto"/>
      </w:divBdr>
    </w:div>
    <w:div w:id="58066373">
      <w:bodyDiv w:val="1"/>
      <w:marLeft w:val="0"/>
      <w:marRight w:val="0"/>
      <w:marTop w:val="0"/>
      <w:marBottom w:val="0"/>
      <w:divBdr>
        <w:top w:val="none" w:sz="0" w:space="0" w:color="auto"/>
        <w:left w:val="none" w:sz="0" w:space="0" w:color="auto"/>
        <w:bottom w:val="none" w:sz="0" w:space="0" w:color="auto"/>
        <w:right w:val="none" w:sz="0" w:space="0" w:color="auto"/>
      </w:divBdr>
    </w:div>
    <w:div w:id="91585160">
      <w:bodyDiv w:val="1"/>
      <w:marLeft w:val="0"/>
      <w:marRight w:val="0"/>
      <w:marTop w:val="0"/>
      <w:marBottom w:val="0"/>
      <w:divBdr>
        <w:top w:val="none" w:sz="0" w:space="0" w:color="auto"/>
        <w:left w:val="none" w:sz="0" w:space="0" w:color="auto"/>
        <w:bottom w:val="none" w:sz="0" w:space="0" w:color="auto"/>
        <w:right w:val="none" w:sz="0" w:space="0" w:color="auto"/>
      </w:divBdr>
    </w:div>
    <w:div w:id="133910499">
      <w:bodyDiv w:val="1"/>
      <w:marLeft w:val="0"/>
      <w:marRight w:val="0"/>
      <w:marTop w:val="0"/>
      <w:marBottom w:val="0"/>
      <w:divBdr>
        <w:top w:val="none" w:sz="0" w:space="0" w:color="auto"/>
        <w:left w:val="none" w:sz="0" w:space="0" w:color="auto"/>
        <w:bottom w:val="none" w:sz="0" w:space="0" w:color="auto"/>
        <w:right w:val="none" w:sz="0" w:space="0" w:color="auto"/>
      </w:divBdr>
    </w:div>
    <w:div w:id="149638025">
      <w:bodyDiv w:val="1"/>
      <w:marLeft w:val="0"/>
      <w:marRight w:val="0"/>
      <w:marTop w:val="0"/>
      <w:marBottom w:val="0"/>
      <w:divBdr>
        <w:top w:val="none" w:sz="0" w:space="0" w:color="auto"/>
        <w:left w:val="none" w:sz="0" w:space="0" w:color="auto"/>
        <w:bottom w:val="none" w:sz="0" w:space="0" w:color="auto"/>
        <w:right w:val="none" w:sz="0" w:space="0" w:color="auto"/>
      </w:divBdr>
    </w:div>
    <w:div w:id="367724979">
      <w:bodyDiv w:val="1"/>
      <w:marLeft w:val="0"/>
      <w:marRight w:val="0"/>
      <w:marTop w:val="0"/>
      <w:marBottom w:val="0"/>
      <w:divBdr>
        <w:top w:val="none" w:sz="0" w:space="0" w:color="auto"/>
        <w:left w:val="none" w:sz="0" w:space="0" w:color="auto"/>
        <w:bottom w:val="none" w:sz="0" w:space="0" w:color="auto"/>
        <w:right w:val="none" w:sz="0" w:space="0" w:color="auto"/>
      </w:divBdr>
    </w:div>
    <w:div w:id="620041581">
      <w:bodyDiv w:val="1"/>
      <w:marLeft w:val="0"/>
      <w:marRight w:val="0"/>
      <w:marTop w:val="0"/>
      <w:marBottom w:val="0"/>
      <w:divBdr>
        <w:top w:val="none" w:sz="0" w:space="0" w:color="auto"/>
        <w:left w:val="none" w:sz="0" w:space="0" w:color="auto"/>
        <w:bottom w:val="none" w:sz="0" w:space="0" w:color="auto"/>
        <w:right w:val="none" w:sz="0" w:space="0" w:color="auto"/>
      </w:divBdr>
    </w:div>
    <w:div w:id="1358627461">
      <w:bodyDiv w:val="1"/>
      <w:marLeft w:val="0"/>
      <w:marRight w:val="0"/>
      <w:marTop w:val="0"/>
      <w:marBottom w:val="0"/>
      <w:divBdr>
        <w:top w:val="none" w:sz="0" w:space="0" w:color="auto"/>
        <w:left w:val="none" w:sz="0" w:space="0" w:color="auto"/>
        <w:bottom w:val="none" w:sz="0" w:space="0" w:color="auto"/>
        <w:right w:val="none" w:sz="0" w:space="0" w:color="auto"/>
      </w:divBdr>
    </w:div>
    <w:div w:id="1530726486">
      <w:bodyDiv w:val="1"/>
      <w:marLeft w:val="0"/>
      <w:marRight w:val="0"/>
      <w:marTop w:val="0"/>
      <w:marBottom w:val="0"/>
      <w:divBdr>
        <w:top w:val="none" w:sz="0" w:space="0" w:color="auto"/>
        <w:left w:val="none" w:sz="0" w:space="0" w:color="auto"/>
        <w:bottom w:val="none" w:sz="0" w:space="0" w:color="auto"/>
        <w:right w:val="none" w:sz="0" w:space="0" w:color="auto"/>
      </w:divBdr>
    </w:div>
    <w:div w:id="1605847424">
      <w:bodyDiv w:val="1"/>
      <w:marLeft w:val="0"/>
      <w:marRight w:val="0"/>
      <w:marTop w:val="0"/>
      <w:marBottom w:val="0"/>
      <w:divBdr>
        <w:top w:val="none" w:sz="0" w:space="0" w:color="auto"/>
        <w:left w:val="none" w:sz="0" w:space="0" w:color="auto"/>
        <w:bottom w:val="none" w:sz="0" w:space="0" w:color="auto"/>
        <w:right w:val="none" w:sz="0" w:space="0" w:color="auto"/>
      </w:divBdr>
    </w:div>
    <w:div w:id="1706446794">
      <w:bodyDiv w:val="1"/>
      <w:marLeft w:val="0"/>
      <w:marRight w:val="0"/>
      <w:marTop w:val="0"/>
      <w:marBottom w:val="0"/>
      <w:divBdr>
        <w:top w:val="none" w:sz="0" w:space="0" w:color="auto"/>
        <w:left w:val="none" w:sz="0" w:space="0" w:color="auto"/>
        <w:bottom w:val="none" w:sz="0" w:space="0" w:color="auto"/>
        <w:right w:val="none" w:sz="0" w:space="0" w:color="auto"/>
      </w:divBdr>
    </w:div>
    <w:div w:id="1837575094">
      <w:bodyDiv w:val="1"/>
      <w:marLeft w:val="0"/>
      <w:marRight w:val="0"/>
      <w:marTop w:val="0"/>
      <w:marBottom w:val="0"/>
      <w:divBdr>
        <w:top w:val="none" w:sz="0" w:space="0" w:color="auto"/>
        <w:left w:val="none" w:sz="0" w:space="0" w:color="auto"/>
        <w:bottom w:val="none" w:sz="0" w:space="0" w:color="auto"/>
        <w:right w:val="none" w:sz="0" w:space="0" w:color="auto"/>
      </w:divBdr>
    </w:div>
    <w:div w:id="2058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image" Target="media/image17.png"/><Relationship Id="rId39" Type="http://schemas.openxmlformats.org/officeDocument/2006/relationships/hyperlink" Target="http://www.sudinfo.be/726092/article/actualite/belgique/2013-05-17/45-des-detenus-des-prisons-belges-sont-de-confession-musulmane" TargetMode="External"/><Relationship Id="rId21" Type="http://schemas.openxmlformats.org/officeDocument/2006/relationships/image" Target="media/image13.png"/><Relationship Id="rId34" Type="http://schemas.openxmlformats.org/officeDocument/2006/relationships/hyperlink" Target="https://monitoringdesquartiers.brussel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hyperlink" Target="http://www.unz.com/isteve/why-does-belgium-have-such-angry-muslims/" TargetMode="External"/><Relationship Id="rId40" Type="http://schemas.openxmlformats.org/officeDocument/2006/relationships/hyperlink" Target="https://www.researchgate.net/profile/Emil-O-W-Kirkegaard/publication/347564022_What_Happened_to_Brussels_The_Big_Decline_and_Muslim_Immigration/links/5fe2066c299bf1408833b0a8/What-Happened-to-Brussels-The-Big-Decline-and-Muslim-Immigration.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chart" Target="charts/chart3.xml"/><Relationship Id="rId36" Type="http://schemas.openxmlformats.org/officeDocument/2006/relationships/hyperlink" Target="http://ibsa.brussels/fichiers/chiffres/2.1_revenus_depenses_menages_statistique_fiscale.xls"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fr.wikipedia.org/wiki/Odds_rat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19.png"/><Relationship Id="rId35" Type="http://schemas.openxmlformats.org/officeDocument/2006/relationships/hyperlink" Target="http://www.grandirabruxelles.be/Publications/rapports/11_97/11_97.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1.jpeg"/><Relationship Id="rId38" Type="http://schemas.openxmlformats.org/officeDocument/2006/relationships/hyperlink" Target="http://www.lesoir.be/1106186/article/actualite/belgique/2016-01-28/75-des-francophones-revendiquent-une-identite-religieus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commun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Feuil1!$I$60:$I$78</c:f>
              <c:numCache>
                <c:formatCode>General</c:formatCode>
                <c:ptCount val="19"/>
                <c:pt idx="0">
                  <c:v>45</c:v>
                </c:pt>
                <c:pt idx="1">
                  <c:v>41.2</c:v>
                </c:pt>
                <c:pt idx="2">
                  <c:v>37.299999999999997</c:v>
                </c:pt>
                <c:pt idx="3">
                  <c:v>31</c:v>
                </c:pt>
                <c:pt idx="4">
                  <c:v>30.2</c:v>
                </c:pt>
                <c:pt idx="5">
                  <c:v>28.4</c:v>
                </c:pt>
                <c:pt idx="6">
                  <c:v>24.4</c:v>
                </c:pt>
                <c:pt idx="7">
                  <c:v>23.1</c:v>
                </c:pt>
                <c:pt idx="8">
                  <c:v>17.899999999999999</c:v>
                </c:pt>
                <c:pt idx="9">
                  <c:v>17.3</c:v>
                </c:pt>
                <c:pt idx="10">
                  <c:v>16.5</c:v>
                </c:pt>
                <c:pt idx="11">
                  <c:v>15.8</c:v>
                </c:pt>
                <c:pt idx="12">
                  <c:v>14.8</c:v>
                </c:pt>
                <c:pt idx="13">
                  <c:v>12.8</c:v>
                </c:pt>
                <c:pt idx="14">
                  <c:v>7.7</c:v>
                </c:pt>
                <c:pt idx="15">
                  <c:v>6.7</c:v>
                </c:pt>
                <c:pt idx="16">
                  <c:v>6.6</c:v>
                </c:pt>
                <c:pt idx="17">
                  <c:v>4.7</c:v>
                </c:pt>
                <c:pt idx="18">
                  <c:v>4.5999999999999996</c:v>
                </c:pt>
              </c:numCache>
            </c:numRef>
          </c:xVal>
          <c:yVal>
            <c:numRef>
              <c:f>Feuil1!$J$60:$J$78</c:f>
              <c:numCache>
                <c:formatCode>General</c:formatCode>
                <c:ptCount val="19"/>
                <c:pt idx="0">
                  <c:v>0.41</c:v>
                </c:pt>
                <c:pt idx="1">
                  <c:v>0.57999999999999996</c:v>
                </c:pt>
                <c:pt idx="2">
                  <c:v>0.67400000000000004</c:v>
                </c:pt>
                <c:pt idx="3">
                  <c:v>0.66400000000000003</c:v>
                </c:pt>
                <c:pt idx="4">
                  <c:v>0.64700000000000002</c:v>
                </c:pt>
                <c:pt idx="5">
                  <c:v>0.83499999999999996</c:v>
                </c:pt>
                <c:pt idx="6">
                  <c:v>0.76600000000000001</c:v>
                </c:pt>
                <c:pt idx="7">
                  <c:v>0.96799999999999997</c:v>
                </c:pt>
                <c:pt idx="8">
                  <c:v>0.78</c:v>
                </c:pt>
                <c:pt idx="9">
                  <c:v>0.94399999999999995</c:v>
                </c:pt>
                <c:pt idx="10">
                  <c:v>0.97</c:v>
                </c:pt>
                <c:pt idx="11">
                  <c:v>1.1439999999999999</c:v>
                </c:pt>
                <c:pt idx="12">
                  <c:v>1.3560000000000001</c:v>
                </c:pt>
                <c:pt idx="13">
                  <c:v>1.2170000000000001</c:v>
                </c:pt>
                <c:pt idx="14">
                  <c:v>1.615</c:v>
                </c:pt>
                <c:pt idx="15">
                  <c:v>1.8720000000000001</c:v>
                </c:pt>
                <c:pt idx="16">
                  <c:v>2.0379999999999998</c:v>
                </c:pt>
                <c:pt idx="17">
                  <c:v>2.7669999999999999</c:v>
                </c:pt>
                <c:pt idx="18">
                  <c:v>2.3039999999999998</c:v>
                </c:pt>
              </c:numCache>
            </c:numRef>
          </c:yVal>
          <c:smooth val="0"/>
          <c:extLst>
            <c:ext xmlns:c16="http://schemas.microsoft.com/office/drawing/2014/chart" uri="{C3380CC4-5D6E-409C-BE32-E72D297353CC}">
              <c16:uniqueId val="{00000000-434D-4656-9BCB-AD1DE5CBDA43}"/>
            </c:ext>
          </c:extLst>
        </c:ser>
        <c:dLbls>
          <c:showLegendKey val="0"/>
          <c:showVal val="0"/>
          <c:showCatName val="0"/>
          <c:showSerName val="0"/>
          <c:showPercent val="0"/>
          <c:showBubbleSize val="0"/>
        </c:dLbls>
        <c:axId val="249826688"/>
        <c:axId val="249832576"/>
      </c:scatterChart>
      <c:valAx>
        <c:axId val="249826688"/>
        <c:scaling>
          <c:orientation val="minMax"/>
        </c:scaling>
        <c:delete val="0"/>
        <c:axPos val="b"/>
        <c:numFmt formatCode="General" sourceLinked="1"/>
        <c:majorTickMark val="out"/>
        <c:minorTickMark val="none"/>
        <c:tickLblPos val="nextTo"/>
        <c:crossAx val="249832576"/>
        <c:crosses val="autoZero"/>
        <c:crossBetween val="midCat"/>
      </c:valAx>
      <c:valAx>
        <c:axId val="249832576"/>
        <c:scaling>
          <c:orientation val="minMax"/>
        </c:scaling>
        <c:delete val="0"/>
        <c:axPos val="l"/>
        <c:majorGridlines/>
        <c:numFmt formatCode="General" sourceLinked="1"/>
        <c:majorTickMark val="out"/>
        <c:minorTickMark val="none"/>
        <c:tickLblPos val="nextTo"/>
        <c:crossAx val="249826688"/>
        <c:crosses val="autoZero"/>
        <c:crossBetween val="midCat"/>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xVal>
            <c:numRef>
              <c:f>Sheet1!$B$9:$B$27</c:f>
              <c:numCache>
                <c:formatCode>General</c:formatCode>
                <c:ptCount val="19"/>
                <c:pt idx="0">
                  <c:v>45</c:v>
                </c:pt>
                <c:pt idx="1">
                  <c:v>41.2</c:v>
                </c:pt>
                <c:pt idx="2">
                  <c:v>37.299999999999997</c:v>
                </c:pt>
                <c:pt idx="3">
                  <c:v>31</c:v>
                </c:pt>
                <c:pt idx="4">
                  <c:v>30.2</c:v>
                </c:pt>
                <c:pt idx="5">
                  <c:v>28.4</c:v>
                </c:pt>
                <c:pt idx="6">
                  <c:v>24.4</c:v>
                </c:pt>
                <c:pt idx="7">
                  <c:v>23.1</c:v>
                </c:pt>
                <c:pt idx="8">
                  <c:v>17.899999999999999</c:v>
                </c:pt>
                <c:pt idx="9">
                  <c:v>17.3</c:v>
                </c:pt>
                <c:pt idx="10">
                  <c:v>16.5</c:v>
                </c:pt>
                <c:pt idx="11">
                  <c:v>15.8</c:v>
                </c:pt>
                <c:pt idx="12">
                  <c:v>14.8</c:v>
                </c:pt>
                <c:pt idx="13">
                  <c:v>12.8</c:v>
                </c:pt>
                <c:pt idx="14">
                  <c:v>7.7</c:v>
                </c:pt>
                <c:pt idx="15">
                  <c:v>6.7</c:v>
                </c:pt>
                <c:pt idx="16">
                  <c:v>6.6</c:v>
                </c:pt>
                <c:pt idx="17">
                  <c:v>4.7</c:v>
                </c:pt>
                <c:pt idx="18">
                  <c:v>4.5999999999999996</c:v>
                </c:pt>
              </c:numCache>
            </c:numRef>
          </c:xVal>
          <c:yVal>
            <c:numRef>
              <c:f>Sheet1!$C$9:$C$27</c:f>
              <c:numCache>
                <c:formatCode>#.##0</c:formatCode>
                <c:ptCount val="19"/>
                <c:pt idx="0">
                  <c:v>242000</c:v>
                </c:pt>
                <c:pt idx="1">
                  <c:v>247500</c:v>
                </c:pt>
                <c:pt idx="2">
                  <c:v>350000</c:v>
                </c:pt>
                <c:pt idx="3">
                  <c:v>322500</c:v>
                </c:pt>
                <c:pt idx="4">
                  <c:v>255000</c:v>
                </c:pt>
                <c:pt idx="5">
                  <c:v>295000</c:v>
                </c:pt>
                <c:pt idx="6">
                  <c:v>377500</c:v>
                </c:pt>
                <c:pt idx="7">
                  <c:v>350000</c:v>
                </c:pt>
                <c:pt idx="8">
                  <c:v>320000</c:v>
                </c:pt>
                <c:pt idx="9">
                  <c:v>285000</c:v>
                </c:pt>
                <c:pt idx="10">
                  <c:v>291500</c:v>
                </c:pt>
                <c:pt idx="11">
                  <c:v>280000</c:v>
                </c:pt>
                <c:pt idx="12">
                  <c:v>550000</c:v>
                </c:pt>
                <c:pt idx="13">
                  <c:v>415000</c:v>
                </c:pt>
                <c:pt idx="14">
                  <c:v>476250</c:v>
                </c:pt>
                <c:pt idx="15">
                  <c:v>385000</c:v>
                </c:pt>
                <c:pt idx="16">
                  <c:v>427500</c:v>
                </c:pt>
                <c:pt idx="17">
                  <c:v>495000</c:v>
                </c:pt>
                <c:pt idx="18">
                  <c:v>387500</c:v>
                </c:pt>
              </c:numCache>
            </c:numRef>
          </c:yVal>
          <c:smooth val="0"/>
          <c:extLst>
            <c:ext xmlns:c16="http://schemas.microsoft.com/office/drawing/2014/chart" uri="{C3380CC4-5D6E-409C-BE32-E72D297353CC}">
              <c16:uniqueId val="{00000000-A4C4-41E7-ADBE-42EE0B9B884D}"/>
            </c:ext>
          </c:extLst>
        </c:ser>
        <c:dLbls>
          <c:showLegendKey val="0"/>
          <c:showVal val="0"/>
          <c:showCatName val="0"/>
          <c:showSerName val="0"/>
          <c:showPercent val="0"/>
          <c:showBubbleSize val="0"/>
        </c:dLbls>
        <c:axId val="281563520"/>
        <c:axId val="281565056"/>
      </c:scatterChart>
      <c:valAx>
        <c:axId val="281563520"/>
        <c:scaling>
          <c:orientation val="minMax"/>
        </c:scaling>
        <c:delete val="0"/>
        <c:axPos val="b"/>
        <c:numFmt formatCode="General" sourceLinked="1"/>
        <c:majorTickMark val="out"/>
        <c:minorTickMark val="none"/>
        <c:tickLblPos val="nextTo"/>
        <c:crossAx val="281565056"/>
        <c:crosses val="autoZero"/>
        <c:crossBetween val="midCat"/>
      </c:valAx>
      <c:valAx>
        <c:axId val="281565056"/>
        <c:scaling>
          <c:orientation val="minMax"/>
          <c:min val="200000"/>
        </c:scaling>
        <c:delete val="0"/>
        <c:axPos val="l"/>
        <c:majorGridlines/>
        <c:numFmt formatCode="#.##0" sourceLinked="1"/>
        <c:majorTickMark val="out"/>
        <c:minorTickMark val="none"/>
        <c:tickLblPos val="nextTo"/>
        <c:crossAx val="281563520"/>
        <c:crosses val="autoZero"/>
        <c:crossBetween val="midCat"/>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Divorce rate (Y)</a:t>
            </a:r>
            <a:r>
              <a:rPr lang="fr-BE" baseline="0"/>
              <a:t> as a function of the NA population (%)</a:t>
            </a:r>
            <a:endParaRPr lang="fr-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Feuil1!$H$7:$H$24</c:f>
              <c:numCache>
                <c:formatCode>General</c:formatCode>
                <c:ptCount val="18"/>
                <c:pt idx="0">
                  <c:v>45</c:v>
                </c:pt>
                <c:pt idx="1">
                  <c:v>41.2</c:v>
                </c:pt>
                <c:pt idx="2">
                  <c:v>37.299999999999997</c:v>
                </c:pt>
                <c:pt idx="3">
                  <c:v>30.2</c:v>
                </c:pt>
                <c:pt idx="4">
                  <c:v>28.4</c:v>
                </c:pt>
                <c:pt idx="5">
                  <c:v>24.4</c:v>
                </c:pt>
                <c:pt idx="6">
                  <c:v>23.1</c:v>
                </c:pt>
                <c:pt idx="7">
                  <c:v>17.899999999999999</c:v>
                </c:pt>
                <c:pt idx="8">
                  <c:v>17.3</c:v>
                </c:pt>
                <c:pt idx="9">
                  <c:v>16.5</c:v>
                </c:pt>
                <c:pt idx="10">
                  <c:v>15.8</c:v>
                </c:pt>
                <c:pt idx="11">
                  <c:v>14.8</c:v>
                </c:pt>
                <c:pt idx="12">
                  <c:v>12.8</c:v>
                </c:pt>
                <c:pt idx="13">
                  <c:v>7.7</c:v>
                </c:pt>
                <c:pt idx="14">
                  <c:v>6.7</c:v>
                </c:pt>
                <c:pt idx="15">
                  <c:v>6.6</c:v>
                </c:pt>
                <c:pt idx="16">
                  <c:v>4.7</c:v>
                </c:pt>
                <c:pt idx="17">
                  <c:v>4.5999999999999996</c:v>
                </c:pt>
              </c:numCache>
            </c:numRef>
          </c:xVal>
          <c:yVal>
            <c:numRef>
              <c:f>Feuil1!$I$7:$I$24</c:f>
              <c:numCache>
                <c:formatCode>General</c:formatCode>
                <c:ptCount val="18"/>
                <c:pt idx="0">
                  <c:v>2.2200000000000002E-3</c:v>
                </c:pt>
                <c:pt idx="1">
                  <c:v>1.887E-3</c:v>
                </c:pt>
                <c:pt idx="2">
                  <c:v>2.0439999999999998E-3</c:v>
                </c:pt>
                <c:pt idx="3">
                  <c:v>1.3799999999999999E-3</c:v>
                </c:pt>
                <c:pt idx="4">
                  <c:v>1.5479999999999999E-3</c:v>
                </c:pt>
                <c:pt idx="5">
                  <c:v>1.9610000000000001E-3</c:v>
                </c:pt>
                <c:pt idx="6">
                  <c:v>1.7420000000000001E-3</c:v>
                </c:pt>
                <c:pt idx="7">
                  <c:v>1.7650000000000001E-3</c:v>
                </c:pt>
                <c:pt idx="8">
                  <c:v>1.91E-3</c:v>
                </c:pt>
                <c:pt idx="9">
                  <c:v>1.804E-3</c:v>
                </c:pt>
                <c:pt idx="10">
                  <c:v>1.688E-3</c:v>
                </c:pt>
                <c:pt idx="11">
                  <c:v>2.124E-3</c:v>
                </c:pt>
                <c:pt idx="12">
                  <c:v>1.4430000000000001E-3</c:v>
                </c:pt>
                <c:pt idx="13">
                  <c:v>1.444E-3</c:v>
                </c:pt>
                <c:pt idx="14">
                  <c:v>1.382E-3</c:v>
                </c:pt>
                <c:pt idx="15">
                  <c:v>1.714E-3</c:v>
                </c:pt>
                <c:pt idx="16">
                  <c:v>1.714E-3</c:v>
                </c:pt>
                <c:pt idx="17">
                  <c:v>1.802E-3</c:v>
                </c:pt>
              </c:numCache>
            </c:numRef>
          </c:yVal>
          <c:smooth val="0"/>
          <c:extLst>
            <c:ext xmlns:c16="http://schemas.microsoft.com/office/drawing/2014/chart" uri="{C3380CC4-5D6E-409C-BE32-E72D297353CC}">
              <c16:uniqueId val="{00000001-8416-49FC-830D-A0F36F81DB9C}"/>
            </c:ext>
          </c:extLst>
        </c:ser>
        <c:dLbls>
          <c:showLegendKey val="0"/>
          <c:showVal val="0"/>
          <c:showCatName val="0"/>
          <c:showSerName val="0"/>
          <c:showPercent val="0"/>
          <c:showBubbleSize val="0"/>
        </c:dLbls>
        <c:axId val="485375384"/>
        <c:axId val="485373744"/>
      </c:scatterChart>
      <c:valAx>
        <c:axId val="485375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5373744"/>
        <c:crosses val="autoZero"/>
        <c:crossBetween val="midCat"/>
      </c:valAx>
      <c:valAx>
        <c:axId val="485373744"/>
        <c:scaling>
          <c:orientation val="minMax"/>
          <c:min val="1.0000000000000002E-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537538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Risk of personal injury (injury accidents per billion vehicle-km on the road) in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Feuil1!$A$5:$A$23</c:f>
              <c:numCache>
                <c:formatCode>General</c:formatCode>
                <c:ptCount val="19"/>
                <c:pt idx="0">
                  <c:v>45</c:v>
                </c:pt>
                <c:pt idx="1">
                  <c:v>41.2</c:v>
                </c:pt>
                <c:pt idx="2">
                  <c:v>37.299999999999997</c:v>
                </c:pt>
                <c:pt idx="3">
                  <c:v>31</c:v>
                </c:pt>
                <c:pt idx="4">
                  <c:v>30.2</c:v>
                </c:pt>
                <c:pt idx="5">
                  <c:v>28.4</c:v>
                </c:pt>
                <c:pt idx="6">
                  <c:v>24.4</c:v>
                </c:pt>
                <c:pt idx="7">
                  <c:v>23.1</c:v>
                </c:pt>
                <c:pt idx="8">
                  <c:v>17.899999999999999</c:v>
                </c:pt>
                <c:pt idx="9">
                  <c:v>17.3</c:v>
                </c:pt>
                <c:pt idx="10">
                  <c:v>16.5</c:v>
                </c:pt>
                <c:pt idx="11">
                  <c:v>15.8</c:v>
                </c:pt>
                <c:pt idx="12">
                  <c:v>14.8</c:v>
                </c:pt>
                <c:pt idx="13">
                  <c:v>12.8</c:v>
                </c:pt>
                <c:pt idx="14">
                  <c:v>7.7</c:v>
                </c:pt>
                <c:pt idx="15">
                  <c:v>6.7</c:v>
                </c:pt>
                <c:pt idx="16">
                  <c:v>6.6</c:v>
                </c:pt>
                <c:pt idx="17">
                  <c:v>4.7</c:v>
                </c:pt>
                <c:pt idx="18">
                  <c:v>4.5999999999999996</c:v>
                </c:pt>
              </c:numCache>
            </c:numRef>
          </c:xVal>
          <c:yVal>
            <c:numRef>
              <c:f>Feuil1!$B$5:$B$23</c:f>
              <c:numCache>
                <c:formatCode>General</c:formatCode>
                <c:ptCount val="19"/>
                <c:pt idx="0">
                  <c:v>806</c:v>
                </c:pt>
                <c:pt idx="1">
                  <c:v>1365</c:v>
                </c:pt>
                <c:pt idx="2">
                  <c:v>1342</c:v>
                </c:pt>
                <c:pt idx="3">
                  <c:v>1253</c:v>
                </c:pt>
                <c:pt idx="4">
                  <c:v>823</c:v>
                </c:pt>
                <c:pt idx="5">
                  <c:v>519</c:v>
                </c:pt>
                <c:pt idx="6">
                  <c:v>2051</c:v>
                </c:pt>
                <c:pt idx="7">
                  <c:v>748</c:v>
                </c:pt>
                <c:pt idx="8">
                  <c:v>520</c:v>
                </c:pt>
                <c:pt idx="9">
                  <c:v>1383</c:v>
                </c:pt>
                <c:pt idx="10">
                  <c:v>862</c:v>
                </c:pt>
                <c:pt idx="11">
                  <c:v>788</c:v>
                </c:pt>
                <c:pt idx="12">
                  <c:v>1438</c:v>
                </c:pt>
                <c:pt idx="13">
                  <c:v>934</c:v>
                </c:pt>
                <c:pt idx="14">
                  <c:v>546</c:v>
                </c:pt>
                <c:pt idx="15">
                  <c:v>308</c:v>
                </c:pt>
                <c:pt idx="16">
                  <c:v>690</c:v>
                </c:pt>
                <c:pt idx="17">
                  <c:v>541</c:v>
                </c:pt>
                <c:pt idx="18">
                  <c:v>362</c:v>
                </c:pt>
              </c:numCache>
            </c:numRef>
          </c:yVal>
          <c:smooth val="0"/>
          <c:extLst>
            <c:ext xmlns:c16="http://schemas.microsoft.com/office/drawing/2014/chart" uri="{C3380CC4-5D6E-409C-BE32-E72D297353CC}">
              <c16:uniqueId val="{00000001-AEFB-4E0D-B14F-22F75D7FE6A9}"/>
            </c:ext>
          </c:extLst>
        </c:ser>
        <c:dLbls>
          <c:showLegendKey val="0"/>
          <c:showVal val="0"/>
          <c:showCatName val="0"/>
          <c:showSerName val="0"/>
          <c:showPercent val="0"/>
          <c:showBubbleSize val="0"/>
        </c:dLbls>
        <c:axId val="494754240"/>
        <c:axId val="494754568"/>
      </c:scatterChart>
      <c:valAx>
        <c:axId val="494754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4754568"/>
        <c:crosses val="autoZero"/>
        <c:crossBetween val="midCat"/>
      </c:valAx>
      <c:valAx>
        <c:axId val="494754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47542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9A56-DFD5-429E-AE08-9BBA6614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3062</Words>
  <Characters>16841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Baptiste Dumoulin</cp:lastModifiedBy>
  <cp:revision>37</cp:revision>
  <dcterms:created xsi:type="dcterms:W3CDTF">2022-01-30T12:22:00Z</dcterms:created>
  <dcterms:modified xsi:type="dcterms:W3CDTF">2022-01-30T13:04:00Z</dcterms:modified>
</cp:coreProperties>
</file>